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A12D" w14:textId="7E1F0BF6"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r w:rsidRPr="00F0615F">
        <w:rPr>
          <w:rFonts w:asciiTheme="majorBidi" w:eastAsia="Calibri" w:hAnsiTheme="majorBidi" w:cstheme="majorBidi"/>
          <w:bCs/>
          <w:noProof/>
          <w:kern w:val="0"/>
          <w:sz w:val="24"/>
          <w:szCs w:val="24"/>
          <w:lang w:val="fr-BE" w:eastAsia="fr-BE"/>
          <w14:ligatures w14:val="none"/>
        </w:rPr>
        <mc:AlternateContent>
          <mc:Choice Requires="wps">
            <w:drawing>
              <wp:anchor distT="0" distB="0" distL="114300" distR="114300" simplePos="0" relativeHeight="251662336" behindDoc="0" locked="0" layoutInCell="1" allowOverlap="1" wp14:anchorId="2742FC3C" wp14:editId="4FD34C2F">
                <wp:simplePos x="0" y="0"/>
                <wp:positionH relativeFrom="margin">
                  <wp:align>left</wp:align>
                </wp:positionH>
                <wp:positionV relativeFrom="paragraph">
                  <wp:posOffset>-715440</wp:posOffset>
                </wp:positionV>
                <wp:extent cx="5842000" cy="2824316"/>
                <wp:effectExtent l="0" t="0" r="0" b="0"/>
                <wp:wrapNone/>
                <wp:docPr id="5" name="Titre 1">
                  <a:extLst xmlns:a="http://schemas.openxmlformats.org/drawingml/2006/main">
                    <a:ext uri="{FF2B5EF4-FFF2-40B4-BE49-F238E27FC236}">
                      <a16:creationId xmlns:a16="http://schemas.microsoft.com/office/drawing/2014/main" id="{581F9370-072B-62E8-D1F5-78852BFC71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0" cy="2824316"/>
                        </a:xfrm>
                        <a:prstGeom prst="rect">
                          <a:avLst/>
                        </a:prstGeom>
                      </wps:spPr>
                      <wps:txbx>
                        <w:txbxContent>
                          <w:p w14:paraId="598D52AE" w14:textId="77777777" w:rsidR="008C2172" w:rsidRPr="008C2172" w:rsidRDefault="008C2172" w:rsidP="008C2172">
                            <w:pPr>
                              <w:spacing w:after="360" w:line="276" w:lineRule="auto"/>
                              <w:jc w:val="center"/>
                              <w:rPr>
                                <w:rFonts w:eastAsia="Calibri"/>
                                <w:b/>
                                <w:bCs/>
                                <w:color w:val="000000"/>
                                <w:kern w:val="24"/>
                              </w:rPr>
                            </w:pPr>
                            <w:r w:rsidRPr="008C2172">
                              <w:rPr>
                                <w:rFonts w:eastAsia="Calibri"/>
                                <w:b/>
                                <w:bCs/>
                                <w:color w:val="000000"/>
                                <w:kern w:val="24"/>
                              </w:rPr>
                              <w:br/>
                              <w:t>République du Niger</w:t>
                            </w:r>
                          </w:p>
                          <w:p w14:paraId="1DA9C3DD" w14:textId="77777777" w:rsidR="008C2172" w:rsidRPr="008C2172" w:rsidRDefault="008C2172" w:rsidP="008C2172">
                            <w:pPr>
                              <w:spacing w:after="360" w:line="276" w:lineRule="auto"/>
                              <w:jc w:val="center"/>
                              <w:rPr>
                                <w:rFonts w:eastAsia="Calibri"/>
                                <w:b/>
                                <w:bCs/>
                                <w:color w:val="000000"/>
                                <w:kern w:val="24"/>
                              </w:rPr>
                            </w:pPr>
                            <w:r w:rsidRPr="008C2172">
                              <w:rPr>
                                <w:rFonts w:eastAsia="Calibri"/>
                                <w:b/>
                                <w:bCs/>
                                <w:color w:val="000000"/>
                                <w:kern w:val="24"/>
                              </w:rPr>
                              <w:br/>
                            </w:r>
                            <w:r w:rsidRPr="008C2172">
                              <w:rPr>
                                <w:rFonts w:eastAsia="Calibri"/>
                                <w:b/>
                                <w:bCs/>
                                <w:color w:val="000000"/>
                                <w:kern w:val="24"/>
                              </w:rPr>
                              <w:br/>
                            </w:r>
                          </w:p>
                          <w:p w14:paraId="14CBC948" w14:textId="77777777" w:rsidR="008C2172" w:rsidRPr="008C2172" w:rsidRDefault="008C2172" w:rsidP="008C2172">
                            <w:pPr>
                              <w:spacing w:after="200" w:line="240" w:lineRule="auto"/>
                              <w:jc w:val="center"/>
                              <w:rPr>
                                <w:rFonts w:ascii="Times New Roman" w:eastAsia="Batang" w:hAnsi="Times New Roman" w:cs="Times New Roman"/>
                                <w:b/>
                                <w:bCs/>
                                <w:color w:val="000000"/>
                                <w:kern w:val="24"/>
                              </w:rPr>
                            </w:pPr>
                            <w:r w:rsidRPr="008C2172">
                              <w:rPr>
                                <w:rFonts w:eastAsia="Calibri"/>
                                <w:b/>
                                <w:bCs/>
                                <w:color w:val="000000"/>
                                <w:kern w:val="24"/>
                              </w:rPr>
                              <w:t xml:space="preserve">Fraternité – Travail – Progrès   </w:t>
                            </w:r>
                            <w:r w:rsidRPr="008C2172">
                              <w:rPr>
                                <w:rFonts w:eastAsia="Calibri"/>
                                <w:b/>
                                <w:bCs/>
                                <w:color w:val="000000"/>
                                <w:kern w:val="24"/>
                              </w:rPr>
                              <w:br/>
                              <w:t xml:space="preserve">      </w:t>
                            </w:r>
                            <w:r w:rsidRPr="008C2172">
                              <w:rPr>
                                <w:rFonts w:eastAsia="Calibri"/>
                                <w:b/>
                                <w:bCs/>
                                <w:color w:val="000000"/>
                                <w:kern w:val="24"/>
                              </w:rPr>
                              <w:br/>
                            </w:r>
                            <w:r w:rsidRPr="008C2172">
                              <w:rPr>
                                <w:rFonts w:ascii="Times New Roman" w:eastAsia="Batang" w:hAnsi="Times New Roman" w:cs="Times New Roman"/>
                                <w:b/>
                                <w:bCs/>
                                <w:color w:val="000000"/>
                                <w:kern w:val="24"/>
                              </w:rPr>
                              <w:t>MINISTERE DE L’URBANISME ET DE L’HABITAT</w:t>
                            </w:r>
                          </w:p>
                          <w:p w14:paraId="68F59A62" w14:textId="77777777" w:rsidR="008C2172" w:rsidRPr="008C2172" w:rsidRDefault="008C2172" w:rsidP="008C2172">
                            <w:pPr>
                              <w:spacing w:after="200" w:line="240" w:lineRule="auto"/>
                              <w:jc w:val="center"/>
                              <w:rPr>
                                <w:rFonts w:ascii="Times New Roman" w:eastAsia="Batang" w:hAnsi="Times New Roman" w:cs="Times New Roman"/>
                                <w:b/>
                                <w:bCs/>
                                <w:color w:val="000000"/>
                                <w:kern w:val="24"/>
                              </w:rPr>
                            </w:pPr>
                            <w:r w:rsidRPr="008C2172">
                              <w:rPr>
                                <w:rFonts w:ascii="Times New Roman" w:eastAsia="Calibri" w:hAnsi="Times New Roman" w:cs="Times New Roman"/>
                                <w:b/>
                                <w:bCs/>
                                <w:color w:val="000000"/>
                                <w:kern w:val="24"/>
                              </w:rPr>
                              <w:br/>
                            </w:r>
                            <w:r w:rsidRPr="008C2172">
                              <w:rPr>
                                <w:rFonts w:ascii="Times New Roman" w:eastAsia="Batang" w:hAnsi="Times New Roman" w:cs="Times New Roman"/>
                                <w:b/>
                                <w:bCs/>
                                <w:color w:val="000000"/>
                                <w:kern w:val="24"/>
                              </w:rPr>
                              <w:t>SECRETARIAT GENERAL</w:t>
                            </w:r>
                          </w:p>
                          <w:p w14:paraId="31308987" w14:textId="77777777" w:rsidR="008C2172" w:rsidRPr="008C2172" w:rsidRDefault="008C2172" w:rsidP="008C2172">
                            <w:pPr>
                              <w:spacing w:after="200" w:line="240" w:lineRule="auto"/>
                              <w:jc w:val="center"/>
                              <w:rPr>
                                <w:rFonts w:eastAsia="Calibri"/>
                                <w:b/>
                                <w:bCs/>
                                <w:color w:val="000000"/>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742FC3C" id="_x0000_t202" coordsize="21600,21600" o:spt="202" path="m,l,21600r21600,l21600,xe">
                <v:stroke joinstyle="miter"/>
                <v:path gradientshapeok="t" o:connecttype="rect"/>
              </v:shapetype>
              <v:shape id="Titre 1" o:spid="_x0000_s1026" type="#_x0000_t202" style="position:absolute;left:0;text-align:left;margin-left:0;margin-top:-56.35pt;width:460pt;height:22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" filled="f" stroked="f">
                <v:textbox>
                  <w:txbxContent>
                    <w:p w14:paraId="598D52AE" w14:textId="77777777" w:rsidR="008C2172" w:rsidRPr="008C2172" w:rsidRDefault="008C2172" w:rsidP="008C2172">
                      <w:pPr>
                        <w:spacing w:after="360" w:line="276" w:lineRule="auto"/>
                        <w:jc w:val="center"/>
                        <w:rPr>
                          <w:rFonts w:eastAsia="Calibri"/>
                          <w:b/>
                          <w:bCs/>
                          <w:color w:val="000000"/>
                          <w:kern w:val="24"/>
                        </w:rPr>
                      </w:pPr>
                      <w:r w:rsidRPr="008C2172">
                        <w:rPr>
                          <w:rFonts w:eastAsia="Calibri"/>
                          <w:b/>
                          <w:bCs/>
                          <w:color w:val="000000"/>
                          <w:kern w:val="24"/>
                        </w:rPr>
                        <w:br/>
                        <w:t>République du Niger</w:t>
                      </w:r>
                    </w:p>
                    <w:p w14:paraId="1DA9C3DD" w14:textId="77777777" w:rsidR="008C2172" w:rsidRPr="008C2172" w:rsidRDefault="008C2172" w:rsidP="008C2172">
                      <w:pPr>
                        <w:spacing w:after="360" w:line="276" w:lineRule="auto"/>
                        <w:jc w:val="center"/>
                        <w:rPr>
                          <w:rFonts w:eastAsia="Calibri"/>
                          <w:b/>
                          <w:bCs/>
                          <w:color w:val="000000"/>
                          <w:kern w:val="24"/>
                        </w:rPr>
                      </w:pPr>
                      <w:r w:rsidRPr="008C2172">
                        <w:rPr>
                          <w:rFonts w:eastAsia="Calibri"/>
                          <w:b/>
                          <w:bCs/>
                          <w:color w:val="000000"/>
                          <w:kern w:val="24"/>
                        </w:rPr>
                        <w:br/>
                      </w:r>
                      <w:r w:rsidRPr="008C2172">
                        <w:rPr>
                          <w:rFonts w:eastAsia="Calibri"/>
                          <w:b/>
                          <w:bCs/>
                          <w:color w:val="000000"/>
                          <w:kern w:val="24"/>
                        </w:rPr>
                        <w:br/>
                      </w:r>
                    </w:p>
                    <w:p w14:paraId="14CBC948" w14:textId="77777777" w:rsidR="008C2172" w:rsidRPr="008C2172" w:rsidRDefault="008C2172" w:rsidP="008C2172">
                      <w:pPr>
                        <w:spacing w:after="200" w:line="240" w:lineRule="auto"/>
                        <w:jc w:val="center"/>
                        <w:rPr>
                          <w:rFonts w:ascii="Times New Roman" w:eastAsia="Batang" w:hAnsi="Times New Roman" w:cs="Times New Roman"/>
                          <w:b/>
                          <w:bCs/>
                          <w:color w:val="000000"/>
                          <w:kern w:val="24"/>
                        </w:rPr>
                      </w:pPr>
                      <w:r w:rsidRPr="008C2172">
                        <w:rPr>
                          <w:rFonts w:eastAsia="Calibri"/>
                          <w:b/>
                          <w:bCs/>
                          <w:color w:val="000000"/>
                          <w:kern w:val="24"/>
                        </w:rPr>
                        <w:t xml:space="preserve">Fraternité – Travail – Progrès   </w:t>
                      </w:r>
                      <w:r w:rsidRPr="008C2172">
                        <w:rPr>
                          <w:rFonts w:eastAsia="Calibri"/>
                          <w:b/>
                          <w:bCs/>
                          <w:color w:val="000000"/>
                          <w:kern w:val="24"/>
                        </w:rPr>
                        <w:br/>
                        <w:t xml:space="preserve">      </w:t>
                      </w:r>
                      <w:r w:rsidRPr="008C2172">
                        <w:rPr>
                          <w:rFonts w:eastAsia="Calibri"/>
                          <w:b/>
                          <w:bCs/>
                          <w:color w:val="000000"/>
                          <w:kern w:val="24"/>
                        </w:rPr>
                        <w:br/>
                      </w:r>
                      <w:r w:rsidRPr="008C2172">
                        <w:rPr>
                          <w:rFonts w:ascii="Times New Roman" w:eastAsia="Batang" w:hAnsi="Times New Roman" w:cs="Times New Roman"/>
                          <w:b/>
                          <w:bCs/>
                          <w:color w:val="000000"/>
                          <w:kern w:val="24"/>
                        </w:rPr>
                        <w:t>MINISTERE DE L’URBANISME ET DE L’HABITAT</w:t>
                      </w:r>
                    </w:p>
                    <w:p w14:paraId="68F59A62" w14:textId="77777777" w:rsidR="008C2172" w:rsidRPr="008C2172" w:rsidRDefault="008C2172" w:rsidP="008C2172">
                      <w:pPr>
                        <w:spacing w:after="200" w:line="240" w:lineRule="auto"/>
                        <w:jc w:val="center"/>
                        <w:rPr>
                          <w:rFonts w:ascii="Times New Roman" w:eastAsia="Batang" w:hAnsi="Times New Roman" w:cs="Times New Roman"/>
                          <w:b/>
                          <w:bCs/>
                          <w:color w:val="000000"/>
                          <w:kern w:val="24"/>
                        </w:rPr>
                      </w:pPr>
                      <w:r w:rsidRPr="008C2172">
                        <w:rPr>
                          <w:rFonts w:ascii="Times New Roman" w:eastAsia="Calibri" w:hAnsi="Times New Roman" w:cs="Times New Roman"/>
                          <w:b/>
                          <w:bCs/>
                          <w:color w:val="000000"/>
                          <w:kern w:val="24"/>
                        </w:rPr>
                        <w:br/>
                      </w:r>
                      <w:r w:rsidRPr="008C2172">
                        <w:rPr>
                          <w:rFonts w:ascii="Times New Roman" w:eastAsia="Batang" w:hAnsi="Times New Roman" w:cs="Times New Roman"/>
                          <w:b/>
                          <w:bCs/>
                          <w:color w:val="000000"/>
                          <w:kern w:val="24"/>
                        </w:rPr>
                        <w:t>SECRETARIAT GENERAL</w:t>
                      </w:r>
                    </w:p>
                    <w:p w14:paraId="31308987" w14:textId="77777777" w:rsidR="008C2172" w:rsidRPr="008C2172" w:rsidRDefault="008C2172" w:rsidP="008C2172">
                      <w:pPr>
                        <w:spacing w:after="200" w:line="240" w:lineRule="auto"/>
                        <w:jc w:val="center"/>
                        <w:rPr>
                          <w:rFonts w:eastAsia="Calibri"/>
                          <w:b/>
                          <w:bCs/>
                          <w:color w:val="000000"/>
                          <w:kern w:val="24"/>
                        </w:rPr>
                      </w:pPr>
                    </w:p>
                  </w:txbxContent>
                </v:textbox>
                <w10:wrap anchorx="margin"/>
              </v:shape>
            </w:pict>
          </mc:Fallback>
        </mc:AlternateContent>
      </w:r>
      <w:r w:rsidRPr="00F0615F">
        <w:rPr>
          <w:rFonts w:asciiTheme="majorBidi" w:eastAsia="Calibri" w:hAnsiTheme="majorBidi" w:cstheme="majorBidi"/>
          <w:bCs/>
          <w:noProof/>
          <w:kern w:val="0"/>
          <w:sz w:val="24"/>
          <w:szCs w:val="24"/>
          <w:lang w:val="fr-BE" w:eastAsia="fr-BE"/>
          <w14:ligatures w14:val="none"/>
        </w:rPr>
        <mc:AlternateContent>
          <mc:Choice Requires="wps">
            <w:drawing>
              <wp:anchor distT="0" distB="0" distL="114300" distR="114300" simplePos="0" relativeHeight="251665408" behindDoc="0" locked="0" layoutInCell="1" allowOverlap="1" wp14:anchorId="46307651" wp14:editId="11FD93EA">
                <wp:simplePos x="0" y="0"/>
                <wp:positionH relativeFrom="column">
                  <wp:posOffset>2282190</wp:posOffset>
                </wp:positionH>
                <wp:positionV relativeFrom="paragraph">
                  <wp:posOffset>-132080</wp:posOffset>
                </wp:positionV>
                <wp:extent cx="1422400" cy="808355"/>
                <wp:effectExtent l="0" t="0" r="25400" b="10795"/>
                <wp:wrapNone/>
                <wp:docPr id="300161716" name="Rectangle 3"/>
                <wp:cNvGraphicFramePr/>
                <a:graphic xmlns:a="http://schemas.openxmlformats.org/drawingml/2006/main">
                  <a:graphicData uri="http://schemas.microsoft.com/office/word/2010/wordprocessingShape">
                    <wps:wsp>
                      <wps:cNvSpPr/>
                      <wps:spPr>
                        <a:xfrm>
                          <a:off x="0" y="0"/>
                          <a:ext cx="1422400" cy="808355"/>
                        </a:xfrm>
                        <a:prstGeom prst="rect">
                          <a:avLst/>
                        </a:prstGeom>
                        <a:noFill/>
                        <a:ln w="12700" cap="flat" cmpd="sng" algn="ctr">
                          <a:solidFill>
                            <a:sysClr val="window" lastClr="FFFFFF">
                              <a:lumMod val="95000"/>
                            </a:sysClr>
                          </a:solidFill>
                          <a:prstDash val="solid"/>
                          <a:miter lim="800000"/>
                        </a:ln>
                        <a:effectLst/>
                      </wps:spPr>
                      <wps:txbx>
                        <w:txbxContent>
                          <w:p w14:paraId="6751B652" w14:textId="77777777" w:rsidR="008C2172" w:rsidRDefault="008C2172" w:rsidP="008C2172">
                            <w:pPr>
                              <w:jc w:val="center"/>
                            </w:pPr>
                            <w:r w:rsidRPr="009139B1">
                              <w:rPr>
                                <w:rFonts w:ascii="Times New Roman" w:eastAsia="Times New Roman" w:hAnsi="Times New Roman" w:cs="Times New Roman"/>
                                <w:b/>
                                <w:bCs/>
                                <w:noProof/>
                                <w:kern w:val="36"/>
                                <w:sz w:val="36"/>
                                <w:szCs w:val="36"/>
                                <w:u w:val="single"/>
                                <w:lang w:eastAsia="fr-BE"/>
                              </w:rPr>
                              <w:drawing>
                                <wp:inline distT="0" distB="0" distL="0" distR="0" wp14:anchorId="6ECD0351" wp14:editId="0B9A2E0C">
                                  <wp:extent cx="1023620" cy="702342"/>
                                  <wp:effectExtent l="0" t="0" r="0" b="2540"/>
                                  <wp:docPr id="2074597770" name="Image 2" descr="Description : Description : Emblème du Niger">
                                    <a:extLst xmlns:a="http://schemas.openxmlformats.org/drawingml/2006/main">
                                      <a:ext uri="{FF2B5EF4-FFF2-40B4-BE49-F238E27FC236}">
                                        <a16:creationId xmlns:a16="http://schemas.microsoft.com/office/drawing/2014/main" id="{55737373-EED9-B7F8-3B50-B784AF29AE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Description : Description : Emblème du Niger">
                                            <a:extLst>
                                              <a:ext uri="{FF2B5EF4-FFF2-40B4-BE49-F238E27FC236}">
                                                <a16:creationId xmlns:a16="http://schemas.microsoft.com/office/drawing/2014/main" id="{55737373-EED9-B7F8-3B50-B784AF29AEDF}"/>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23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07651" id="Rectangle 3" o:spid="_x0000_s1027" style="position:absolute;left:0;text-align:left;margin-left:179.7pt;margin-top:-10.4pt;width:112pt;height:6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" filled="f" strokecolor="#f2f2f2" strokeweight="1pt">
                <v:textbox>
                  <w:txbxContent>
                    <w:p w14:paraId="6751B652" w14:textId="77777777" w:rsidR="008C2172" w:rsidRDefault="008C2172" w:rsidP="008C2172">
                      <w:pPr>
                        <w:jc w:val="center"/>
                      </w:pPr>
                      <w:r w:rsidRPr="009139B1">
                        <w:rPr>
                          <w:rFonts w:ascii="Times New Roman" w:eastAsia="Times New Roman" w:hAnsi="Times New Roman" w:cs="Times New Roman"/>
                          <w:b/>
                          <w:bCs/>
                          <w:noProof/>
                          <w:kern w:val="36"/>
                          <w:sz w:val="36"/>
                          <w:szCs w:val="36"/>
                          <w:u w:val="single"/>
                          <w:lang w:eastAsia="fr-BE"/>
                        </w:rPr>
                        <w:drawing>
                          <wp:inline distT="0" distB="0" distL="0" distR="0" wp14:anchorId="6ECD0351" wp14:editId="0B9A2E0C">
                            <wp:extent cx="1023620" cy="702342"/>
                            <wp:effectExtent l="0" t="0" r="0" b="2540"/>
                            <wp:docPr id="2074597770" name="Image 2" descr="Description : Description : Emblème du Niger">
                              <a:extLst xmlns:a="http://schemas.openxmlformats.org/drawingml/2006/main">
                                <a:ext uri="{FF2B5EF4-FFF2-40B4-BE49-F238E27FC236}">
                                  <a16:creationId xmlns:a16="http://schemas.microsoft.com/office/drawing/2014/main" id="{55737373-EED9-B7F8-3B50-B784AF29AE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Description : Description : Emblème du Niger">
                                      <a:extLst>
                                        <a:ext uri="{FF2B5EF4-FFF2-40B4-BE49-F238E27FC236}">
                                          <a16:creationId xmlns:a16="http://schemas.microsoft.com/office/drawing/2014/main" id="{55737373-EED9-B7F8-3B50-B784AF29AEDF}"/>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2342"/>
                                    </a:xfrm>
                                    <a:prstGeom prst="rect">
                                      <a:avLst/>
                                    </a:prstGeom>
                                    <a:noFill/>
                                    <a:ln>
                                      <a:noFill/>
                                    </a:ln>
                                  </pic:spPr>
                                </pic:pic>
                              </a:graphicData>
                            </a:graphic>
                          </wp:inline>
                        </w:drawing>
                      </w:r>
                    </w:p>
                  </w:txbxContent>
                </v:textbox>
              </v:rect>
            </w:pict>
          </mc:Fallback>
        </mc:AlternateContent>
      </w:r>
      <w:r w:rsidRPr="00F0615F">
        <w:rPr>
          <w:rFonts w:asciiTheme="majorBidi" w:eastAsia="Calibri" w:hAnsiTheme="majorBidi" w:cstheme="majorBidi"/>
          <w:bCs/>
          <w:noProof/>
          <w:kern w:val="0"/>
          <w:sz w:val="24"/>
          <w:szCs w:val="24"/>
          <w:lang w:val="fr-BE" w:eastAsia="fr-BE"/>
          <w14:ligatures w14:val="none"/>
        </w:rPr>
        <mc:AlternateContent>
          <mc:Choice Requires="wps">
            <w:drawing>
              <wp:anchor distT="0" distB="0" distL="114300" distR="114300" simplePos="0" relativeHeight="251664384" behindDoc="0" locked="0" layoutInCell="1" allowOverlap="1" wp14:anchorId="17FD1932" wp14:editId="63BC42D1">
                <wp:simplePos x="0" y="0"/>
                <wp:positionH relativeFrom="column">
                  <wp:posOffset>-381000</wp:posOffset>
                </wp:positionH>
                <wp:positionV relativeFrom="paragraph">
                  <wp:posOffset>-697230</wp:posOffset>
                </wp:positionV>
                <wp:extent cx="1187450" cy="1381125"/>
                <wp:effectExtent l="0" t="0" r="12700" b="28575"/>
                <wp:wrapNone/>
                <wp:docPr id="1051647971" name="Rectangle 2"/>
                <wp:cNvGraphicFramePr/>
                <a:graphic xmlns:a="http://schemas.openxmlformats.org/drawingml/2006/main">
                  <a:graphicData uri="http://schemas.microsoft.com/office/word/2010/wordprocessingShape">
                    <wps:wsp>
                      <wps:cNvSpPr/>
                      <wps:spPr>
                        <a:xfrm>
                          <a:off x="0" y="0"/>
                          <a:ext cx="1187450" cy="1381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31807C" w14:textId="77777777" w:rsidR="008C2172" w:rsidRDefault="008C2172" w:rsidP="008C2172">
                            <w:pPr>
                              <w:jc w:val="center"/>
                            </w:pPr>
                            <w:r w:rsidRPr="009139B1">
                              <w:rPr>
                                <w:rFonts w:ascii="Times New Roman" w:eastAsia="Times New Roman" w:hAnsi="Times New Roman" w:cs="Times New Roman"/>
                                <w:b/>
                                <w:bCs/>
                                <w:noProof/>
                                <w:kern w:val="36"/>
                                <w:sz w:val="36"/>
                                <w:szCs w:val="36"/>
                                <w:u w:val="single"/>
                                <w:lang w:eastAsia="fr-BE"/>
                              </w:rPr>
                              <w:drawing>
                                <wp:inline distT="0" distB="0" distL="0" distR="0" wp14:anchorId="6A7F8C56" wp14:editId="3A37B554">
                                  <wp:extent cx="914704" cy="1306225"/>
                                  <wp:effectExtent l="0" t="0" r="0" b="8255"/>
                                  <wp:docPr id="906760715" name="Image 3">
                                    <a:extLst xmlns:a="http://schemas.openxmlformats.org/drawingml/2006/main">
                                      <a:ext uri="{FF2B5EF4-FFF2-40B4-BE49-F238E27FC236}">
                                        <a16:creationId xmlns:a16="http://schemas.microsoft.com/office/drawing/2014/main" id="{28F761D5-5B80-1AE5-B557-8A1F584E02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28F761D5-5B80-1AE5-B557-8A1F584E02A3}"/>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139" cy="13125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1932" id="Rectangle 2" o:spid="_x0000_s1028" style="position:absolute;left:0;text-align:left;margin-left:-30pt;margin-top:-54.9pt;width:93.5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" fillcolor="window" strokecolor="windowText" strokeweight="1pt">
                <v:textbox>
                  <w:txbxContent>
                    <w:p w14:paraId="4331807C" w14:textId="77777777" w:rsidR="008C2172" w:rsidRDefault="008C2172" w:rsidP="008C2172">
                      <w:pPr>
                        <w:jc w:val="center"/>
                      </w:pPr>
                      <w:r w:rsidRPr="009139B1">
                        <w:rPr>
                          <w:rFonts w:ascii="Times New Roman" w:eastAsia="Times New Roman" w:hAnsi="Times New Roman" w:cs="Times New Roman"/>
                          <w:b/>
                          <w:bCs/>
                          <w:noProof/>
                          <w:kern w:val="36"/>
                          <w:sz w:val="36"/>
                          <w:szCs w:val="36"/>
                          <w:u w:val="single"/>
                          <w:lang w:eastAsia="fr-BE"/>
                        </w:rPr>
                        <w:drawing>
                          <wp:inline distT="0" distB="0" distL="0" distR="0" wp14:anchorId="6A7F8C56" wp14:editId="3A37B554">
                            <wp:extent cx="914704" cy="1306225"/>
                            <wp:effectExtent l="0" t="0" r="0" b="8255"/>
                            <wp:docPr id="906760715" name="Image 3">
                              <a:extLst xmlns:a="http://schemas.openxmlformats.org/drawingml/2006/main">
                                <a:ext uri="{FF2B5EF4-FFF2-40B4-BE49-F238E27FC236}">
                                  <a16:creationId xmlns:a16="http://schemas.microsoft.com/office/drawing/2014/main" id="{28F761D5-5B80-1AE5-B557-8A1F584E02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28F761D5-5B80-1AE5-B557-8A1F584E02A3}"/>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139" cy="1312559"/>
                                    </a:xfrm>
                                    <a:prstGeom prst="rect">
                                      <a:avLst/>
                                    </a:prstGeom>
                                    <a:noFill/>
                                    <a:ln>
                                      <a:noFill/>
                                    </a:ln>
                                  </pic:spPr>
                                </pic:pic>
                              </a:graphicData>
                            </a:graphic>
                          </wp:inline>
                        </w:drawing>
                      </w:r>
                    </w:p>
                  </w:txbxContent>
                </v:textbox>
              </v:rect>
            </w:pict>
          </mc:Fallback>
        </mc:AlternateContent>
      </w:r>
      <w:r w:rsidRPr="00F0615F">
        <w:rPr>
          <w:rFonts w:asciiTheme="majorBidi" w:eastAsia="Calibri" w:hAnsiTheme="majorBidi" w:cstheme="majorBidi"/>
          <w:bCs/>
          <w:noProof/>
          <w:kern w:val="0"/>
          <w:sz w:val="24"/>
          <w:szCs w:val="24"/>
          <w:lang w:val="fr-BE" w:eastAsia="fr-BE"/>
          <w14:ligatures w14:val="none"/>
        </w:rPr>
        <mc:AlternateContent>
          <mc:Choice Requires="wps">
            <w:drawing>
              <wp:anchor distT="0" distB="0" distL="114300" distR="114300" simplePos="0" relativeHeight="251663360" behindDoc="0" locked="0" layoutInCell="1" allowOverlap="1" wp14:anchorId="485C39D8" wp14:editId="1523FF38">
                <wp:simplePos x="0" y="0"/>
                <wp:positionH relativeFrom="column">
                  <wp:posOffset>4906010</wp:posOffset>
                </wp:positionH>
                <wp:positionV relativeFrom="paragraph">
                  <wp:posOffset>-716915</wp:posOffset>
                </wp:positionV>
                <wp:extent cx="1337310" cy="1354455"/>
                <wp:effectExtent l="0" t="0" r="15240" b="17145"/>
                <wp:wrapNone/>
                <wp:docPr id="155073167" name="Rectangle 1"/>
                <wp:cNvGraphicFramePr/>
                <a:graphic xmlns:a="http://schemas.openxmlformats.org/drawingml/2006/main">
                  <a:graphicData uri="http://schemas.microsoft.com/office/word/2010/wordprocessingShape">
                    <wps:wsp>
                      <wps:cNvSpPr/>
                      <wps:spPr>
                        <a:xfrm>
                          <a:off x="0" y="0"/>
                          <a:ext cx="1337310" cy="1354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343B8C" w14:textId="77777777" w:rsidR="008C2172" w:rsidRDefault="008C2172" w:rsidP="008C2172">
                            <w:pPr>
                              <w:jc w:val="center"/>
                            </w:pPr>
                            <w:r w:rsidRPr="009139B1">
                              <w:rPr>
                                <w:rFonts w:ascii="Times New Roman" w:eastAsia="Times New Roman" w:hAnsi="Times New Roman" w:cs="Times New Roman"/>
                                <w:b/>
                                <w:bCs/>
                                <w:noProof/>
                                <w:kern w:val="36"/>
                                <w:sz w:val="36"/>
                                <w:szCs w:val="36"/>
                                <w:u w:val="single"/>
                                <w:lang w:eastAsia="fr-BE"/>
                              </w:rPr>
                              <w:drawing>
                                <wp:inline distT="0" distB="0" distL="0" distR="0" wp14:anchorId="6C8CBD73" wp14:editId="6E4CE5F4">
                                  <wp:extent cx="1158028" cy="1232452"/>
                                  <wp:effectExtent l="0" t="0" r="4445" b="6350"/>
                                  <wp:docPr id="1522785333" name="Image 9">
                                    <a:extLst xmlns:a="http://schemas.openxmlformats.org/drawingml/2006/main">
                                      <a:ext uri="{FF2B5EF4-FFF2-40B4-BE49-F238E27FC236}">
                                        <a16:creationId xmlns:a16="http://schemas.microsoft.com/office/drawing/2014/main" id="{74D6F175-FE6D-E657-7FA1-AE5A0D4DBA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74D6F175-FE6D-E657-7FA1-AE5A0D4DBAD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819" cy="12375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C39D8" id="Rectangle 1" o:spid="_x0000_s1029" style="position:absolute;left:0;text-align:left;margin-left:386.3pt;margin-top:-56.45pt;width:105.3pt;height:10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" fillcolor="window" strokecolor="windowText" strokeweight="1pt">
                <v:textbox>
                  <w:txbxContent>
                    <w:p w14:paraId="06343B8C" w14:textId="77777777" w:rsidR="008C2172" w:rsidRDefault="008C2172" w:rsidP="008C2172">
                      <w:pPr>
                        <w:jc w:val="center"/>
                      </w:pPr>
                      <w:r w:rsidRPr="009139B1">
                        <w:rPr>
                          <w:rFonts w:ascii="Times New Roman" w:eastAsia="Times New Roman" w:hAnsi="Times New Roman" w:cs="Times New Roman"/>
                          <w:b/>
                          <w:bCs/>
                          <w:noProof/>
                          <w:kern w:val="36"/>
                          <w:sz w:val="36"/>
                          <w:szCs w:val="36"/>
                          <w:u w:val="single"/>
                          <w:lang w:eastAsia="fr-BE"/>
                        </w:rPr>
                        <w:drawing>
                          <wp:inline distT="0" distB="0" distL="0" distR="0" wp14:anchorId="6C8CBD73" wp14:editId="6E4CE5F4">
                            <wp:extent cx="1158028" cy="1232452"/>
                            <wp:effectExtent l="0" t="0" r="4445" b="6350"/>
                            <wp:docPr id="1522785333" name="Image 9">
                              <a:extLst xmlns:a="http://schemas.openxmlformats.org/drawingml/2006/main">
                                <a:ext uri="{FF2B5EF4-FFF2-40B4-BE49-F238E27FC236}">
                                  <a16:creationId xmlns:a16="http://schemas.microsoft.com/office/drawing/2014/main" id="{74D6F175-FE6D-E657-7FA1-AE5A0D4DBA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74D6F175-FE6D-E657-7FA1-AE5A0D4DBAD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819" cy="1237551"/>
                                    </a:xfrm>
                                    <a:prstGeom prst="rect">
                                      <a:avLst/>
                                    </a:prstGeom>
                                  </pic:spPr>
                                </pic:pic>
                              </a:graphicData>
                            </a:graphic>
                          </wp:inline>
                        </w:drawing>
                      </w:r>
                    </w:p>
                  </w:txbxContent>
                </v:textbox>
              </v:rect>
            </w:pict>
          </mc:Fallback>
        </mc:AlternateContent>
      </w:r>
    </w:p>
    <w:p w14:paraId="0D1A059B"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A55BF03"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068D964F"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00CBFB5E"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2C76EE23"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699A75E7"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65AA054E"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469A7686"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2EC1CFD1"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5C4E564C"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4451857D"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067AEB20"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49ACE84"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1F17805"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17961808" w14:textId="081AEA5C" w:rsidR="008C2172" w:rsidRPr="00F0615F" w:rsidRDefault="00980C34" w:rsidP="00FD5B2F">
      <w:pPr>
        <w:spacing w:after="0" w:line="276" w:lineRule="auto"/>
        <w:contextualSpacing/>
        <w:jc w:val="both"/>
        <w:rPr>
          <w:rFonts w:asciiTheme="majorBidi" w:eastAsia="Calibri" w:hAnsiTheme="majorBidi" w:cstheme="majorBidi"/>
          <w:bCs/>
          <w:kern w:val="0"/>
          <w:sz w:val="24"/>
          <w:szCs w:val="24"/>
          <w:lang w:val="fr-BE"/>
          <w14:ligatures w14:val="none"/>
        </w:rPr>
      </w:pPr>
      <w:r w:rsidRPr="00F0615F">
        <w:rPr>
          <w:rFonts w:asciiTheme="majorBidi" w:eastAsia="Calibri" w:hAnsiTheme="majorBidi" w:cstheme="majorBidi"/>
          <w:bCs/>
          <w:noProof/>
          <w:sz w:val="24"/>
          <w:szCs w:val="24"/>
          <w:lang w:val="fr-BE" w:eastAsia="fr-BE"/>
        </w:rPr>
        <mc:AlternateContent>
          <mc:Choice Requires="wps">
            <w:drawing>
              <wp:anchor distT="0" distB="0" distL="114300" distR="114300" simplePos="0" relativeHeight="251666432" behindDoc="0" locked="0" layoutInCell="1" allowOverlap="1" wp14:anchorId="781E7E5D" wp14:editId="24856ED4">
                <wp:simplePos x="0" y="0"/>
                <wp:positionH relativeFrom="margin">
                  <wp:posOffset>-333375</wp:posOffset>
                </wp:positionH>
                <wp:positionV relativeFrom="paragraph">
                  <wp:posOffset>210185</wp:posOffset>
                </wp:positionV>
                <wp:extent cx="6743700" cy="2217420"/>
                <wp:effectExtent l="0" t="0" r="19050" b="11430"/>
                <wp:wrapNone/>
                <wp:docPr id="8" name="Parchemin : horizontal 7">
                  <a:extLst xmlns:a="http://schemas.openxmlformats.org/drawingml/2006/main">
                    <a:ext uri="{FF2B5EF4-FFF2-40B4-BE49-F238E27FC236}">
                      <a16:creationId xmlns:a16="http://schemas.microsoft.com/office/drawing/2014/main" id="{F2847785-9D0E-7F0C-9E0E-03B69738BA94}"/>
                    </a:ext>
                  </a:extLst>
                </wp:docPr>
                <wp:cNvGraphicFramePr/>
                <a:graphic xmlns:a="http://schemas.openxmlformats.org/drawingml/2006/main">
                  <a:graphicData uri="http://schemas.microsoft.com/office/word/2010/wordprocessingShape">
                    <wps:wsp>
                      <wps:cNvSpPr/>
                      <wps:spPr>
                        <a:xfrm>
                          <a:off x="0" y="0"/>
                          <a:ext cx="6743700" cy="2217420"/>
                        </a:xfrm>
                        <a:prstGeom prst="horizontalScroll">
                          <a:avLst/>
                        </a:prstGeom>
                        <a:gradFill>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gradFill>
                        <a:ln w="12700" cap="flat" cmpd="sng" algn="ctr">
                          <a:solidFill>
                            <a:srgbClr val="5B9BD5">
                              <a:shade val="50000"/>
                            </a:srgbClr>
                          </a:solidFill>
                          <a:prstDash val="solid"/>
                          <a:miter lim="800000"/>
                        </a:ln>
                        <a:effectLst/>
                      </wps:spPr>
                      <wps:txbx>
                        <w:txbxContent>
                          <w:p w14:paraId="0A0CA90B" w14:textId="77777777" w:rsidR="008C2172" w:rsidRPr="008C2172" w:rsidRDefault="008C2172" w:rsidP="008C2172">
                            <w:pPr>
                              <w:spacing w:line="360" w:lineRule="auto"/>
                              <w:jc w:val="center"/>
                              <w:rPr>
                                <w:rFonts w:ascii="Times New Roman" w:eastAsia="Times New Roman" w:hAnsi="Times New Roman" w:cs="Times New Roman"/>
                                <w:b/>
                                <w:bCs/>
                                <w:color w:val="000000"/>
                                <w:kern w:val="36"/>
                                <w:sz w:val="40"/>
                                <w:szCs w:val="40"/>
                              </w:rPr>
                            </w:pPr>
                            <w:r w:rsidRPr="008C2172">
                              <w:rPr>
                                <w:rFonts w:ascii="Times New Roman" w:eastAsia="Times New Roman" w:hAnsi="Times New Roman" w:cs="Times New Roman"/>
                                <w:b/>
                                <w:bCs/>
                                <w:color w:val="000000"/>
                                <w:kern w:val="36"/>
                                <w:sz w:val="40"/>
                                <w:szCs w:val="40"/>
                              </w:rPr>
                              <w:t>Eléments de réponse à l'attention du Ministre de l'Urbanisme et de l'Habitat.</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type w14:anchorId="781E7E5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7" o:spid="_x0000_s1030" type="#_x0000_t98" style="position:absolute;left:0;text-align:left;margin-left:-26.25pt;margin-top:16.55pt;width:531pt;height:17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" fillcolor="#fafafa" strokecolor="#41719c" strokeweight="1pt">
                <v:fill color2="#e4e4e4" colors="0 #fafafa;48497f #d7d7d7;54395f #d7d7d7;1 #e4e4e4" focus="100%" type="gradient"/>
                <v:stroke joinstyle="miter"/>
                <v:textbox>
                  <w:txbxContent>
                    <w:p w14:paraId="0A0CA90B" w14:textId="77777777" w:rsidR="008C2172" w:rsidRPr="008C2172" w:rsidRDefault="008C2172" w:rsidP="008C2172">
                      <w:pPr>
                        <w:spacing w:line="360" w:lineRule="auto"/>
                        <w:jc w:val="center"/>
                        <w:rPr>
                          <w:rFonts w:ascii="Times New Roman" w:eastAsia="Times New Roman" w:hAnsi="Times New Roman" w:cs="Times New Roman"/>
                          <w:b/>
                          <w:bCs/>
                          <w:color w:val="000000"/>
                          <w:kern w:val="36"/>
                          <w:sz w:val="40"/>
                          <w:szCs w:val="40"/>
                        </w:rPr>
                      </w:pPr>
                      <w:r w:rsidRPr="008C2172">
                        <w:rPr>
                          <w:rFonts w:ascii="Times New Roman" w:eastAsia="Times New Roman" w:hAnsi="Times New Roman" w:cs="Times New Roman"/>
                          <w:b/>
                          <w:bCs/>
                          <w:color w:val="000000"/>
                          <w:kern w:val="36"/>
                          <w:sz w:val="40"/>
                          <w:szCs w:val="40"/>
                        </w:rPr>
                        <w:t>Eléments de réponse à l'attention du Ministre de l'Urbanisme et de l'Habitat.</w:t>
                      </w:r>
                    </w:p>
                  </w:txbxContent>
                </v:textbox>
                <w10:wrap anchorx="margin"/>
              </v:shape>
            </w:pict>
          </mc:Fallback>
        </mc:AlternateContent>
      </w:r>
    </w:p>
    <w:p w14:paraId="7424B7EE"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FB11B2C"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086C4E9D"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E109887"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1DB8556D"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43B1FD08"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1E44EBDB"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55190321"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B99E946"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1A96E591"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29F1BBED"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9C33B2E"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11C22383" w14:textId="77777777" w:rsidR="008C2172" w:rsidRPr="00F0615F" w:rsidRDefault="008C2172" w:rsidP="00FD5B2F">
      <w:pPr>
        <w:spacing w:after="0" w:line="276" w:lineRule="auto"/>
        <w:contextualSpacing/>
        <w:jc w:val="both"/>
        <w:rPr>
          <w:rFonts w:asciiTheme="majorBidi" w:eastAsia="Calibri" w:hAnsiTheme="majorBidi" w:cstheme="majorBidi"/>
          <w:bCs/>
          <w:kern w:val="0"/>
          <w:sz w:val="24"/>
          <w:szCs w:val="24"/>
          <w:lang w:val="fr-BE"/>
          <w14:ligatures w14:val="none"/>
        </w:rPr>
      </w:pPr>
    </w:p>
    <w:p w14:paraId="3D568EFA"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72D71891"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122782E9" w14:textId="77777777" w:rsidR="00816446" w:rsidRPr="00F0615F" w:rsidRDefault="00816446" w:rsidP="00FD5B2F">
      <w:pPr>
        <w:spacing w:after="0" w:line="276" w:lineRule="auto"/>
        <w:contextualSpacing/>
        <w:jc w:val="both"/>
        <w:rPr>
          <w:rFonts w:asciiTheme="majorBidi" w:hAnsiTheme="majorBidi" w:cstheme="majorBidi"/>
          <w:bCs/>
          <w:sz w:val="24"/>
          <w:szCs w:val="24"/>
        </w:rPr>
      </w:pPr>
      <w:r w:rsidRPr="00F0615F">
        <w:rPr>
          <w:rFonts w:asciiTheme="majorBidi" w:hAnsiTheme="majorBidi" w:cstheme="majorBidi"/>
          <w:bCs/>
          <w:sz w:val="24"/>
          <w:szCs w:val="24"/>
        </w:rPr>
        <w:t>ENTRETIEN AVEC LE MINISTRE DE L’URBANISME ET DE L’HABITAT</w:t>
      </w:r>
    </w:p>
    <w:p w14:paraId="773A1A37"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00CCED08"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3B0EE819"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5F02CC8F"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6E8EE4AB"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1A2D3F82"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353F9AD6"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4D4F01F1"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05AD9981"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7E70D5CA"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64B81CD3"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7B25D25D"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3B31F31D" w14:textId="77777777" w:rsidR="006B5686" w:rsidRPr="00F0615F" w:rsidRDefault="006B5686" w:rsidP="00FD5B2F">
      <w:pPr>
        <w:tabs>
          <w:tab w:val="left" w:pos="5412"/>
        </w:tabs>
        <w:spacing w:after="0" w:line="276" w:lineRule="auto"/>
        <w:contextualSpacing/>
        <w:jc w:val="both"/>
        <w:rPr>
          <w:rFonts w:asciiTheme="majorBidi" w:eastAsia="Calibri" w:hAnsiTheme="majorBidi" w:cstheme="majorBidi"/>
          <w:bCs/>
          <w:kern w:val="0"/>
          <w:sz w:val="24"/>
          <w:szCs w:val="24"/>
          <w:lang w:val="fr-BE"/>
          <w14:ligatures w14:val="none"/>
        </w:rPr>
      </w:pPr>
    </w:p>
    <w:p w14:paraId="5FD91D39" w14:textId="019C15C2" w:rsidR="008C2172" w:rsidRPr="00F0615F" w:rsidRDefault="00DF5018" w:rsidP="00AA2183">
      <w:pPr>
        <w:tabs>
          <w:tab w:val="left" w:pos="5412"/>
        </w:tabs>
        <w:spacing w:after="0" w:line="276" w:lineRule="auto"/>
        <w:contextualSpacing/>
        <w:jc w:val="center"/>
        <w:rPr>
          <w:rFonts w:asciiTheme="majorBidi" w:eastAsia="Calibri" w:hAnsiTheme="majorBidi" w:cstheme="majorBidi"/>
          <w:bCs/>
          <w:kern w:val="0"/>
          <w:sz w:val="24"/>
          <w:szCs w:val="24"/>
          <w:lang w:val="fr-BE"/>
          <w14:ligatures w14:val="none"/>
        </w:rPr>
      </w:pPr>
      <w:r w:rsidRPr="00F0615F">
        <w:rPr>
          <w:rFonts w:asciiTheme="majorBidi" w:eastAsia="Calibri" w:hAnsiTheme="majorBidi" w:cstheme="majorBidi"/>
          <w:bCs/>
          <w:kern w:val="0"/>
          <w:sz w:val="24"/>
          <w:szCs w:val="24"/>
          <w:lang w:val="fr-BE"/>
          <w14:ligatures w14:val="none"/>
        </w:rPr>
        <w:t>Avril</w:t>
      </w:r>
      <w:r w:rsidR="008C2172" w:rsidRPr="00F0615F">
        <w:rPr>
          <w:rFonts w:asciiTheme="majorBidi" w:eastAsia="Calibri" w:hAnsiTheme="majorBidi" w:cstheme="majorBidi"/>
          <w:bCs/>
          <w:kern w:val="0"/>
          <w:sz w:val="24"/>
          <w:szCs w:val="24"/>
          <w:lang w:val="fr-BE"/>
          <w14:ligatures w14:val="none"/>
        </w:rPr>
        <w:t xml:space="preserve"> 202</w:t>
      </w:r>
      <w:r w:rsidRPr="00F0615F">
        <w:rPr>
          <w:rFonts w:asciiTheme="majorBidi" w:eastAsia="Calibri" w:hAnsiTheme="majorBidi" w:cstheme="majorBidi"/>
          <w:bCs/>
          <w:kern w:val="0"/>
          <w:sz w:val="24"/>
          <w:szCs w:val="24"/>
          <w:lang w:val="fr-BE"/>
          <w14:ligatures w14:val="none"/>
        </w:rPr>
        <w:t>6</w:t>
      </w:r>
    </w:p>
    <w:p w14:paraId="6B4ABAF7" w14:textId="4F040602" w:rsidR="008C2172" w:rsidRPr="00F0615F" w:rsidRDefault="008C2172" w:rsidP="00FD5B2F">
      <w:pPr>
        <w:spacing w:after="0" w:line="276" w:lineRule="auto"/>
        <w:contextualSpacing/>
        <w:jc w:val="both"/>
        <w:rPr>
          <w:rFonts w:asciiTheme="majorBidi" w:hAnsiTheme="majorBidi" w:cstheme="majorBidi"/>
          <w:bCs/>
          <w:sz w:val="24"/>
          <w:szCs w:val="24"/>
        </w:rPr>
      </w:pPr>
    </w:p>
    <w:p w14:paraId="497044B7" w14:textId="77777777" w:rsidR="007C751D" w:rsidRPr="00F0615F" w:rsidRDefault="007C751D" w:rsidP="001812A6">
      <w:pPr>
        <w:jc w:val="both"/>
        <w:rPr>
          <w:rFonts w:asciiTheme="majorBidi" w:hAnsiTheme="majorBidi" w:cstheme="majorBidi"/>
          <w:bCs/>
          <w:sz w:val="24"/>
          <w:szCs w:val="24"/>
        </w:rPr>
      </w:pPr>
      <w:r w:rsidRPr="00F0615F">
        <w:rPr>
          <w:rFonts w:asciiTheme="majorBidi" w:hAnsiTheme="majorBidi" w:cstheme="majorBidi"/>
          <w:bCs/>
          <w:sz w:val="24"/>
          <w:szCs w:val="24"/>
        </w:rPr>
        <w:t>Monsieur le Ministre : Je vous remercie pour l’invitation à participer au plateau de la Télévision Nationale afin de présenter les principales réalisations du ministère, conformément à la lettre de mission reçue du Président de la République, Chef de l’État, le Général d’Armée Abdourahamane TIANI. C’est dans un esprit de responsabilité et de devoir que je m’adresse ce soir à la population.</w:t>
      </w:r>
    </w:p>
    <w:p w14:paraId="4CFDE971" w14:textId="6638851A" w:rsidR="00851CE5" w:rsidRPr="00F0615F" w:rsidRDefault="007C751D" w:rsidP="001812A6">
      <w:pPr>
        <w:jc w:val="both"/>
        <w:rPr>
          <w:rFonts w:asciiTheme="majorBidi" w:hAnsiTheme="majorBidi" w:cstheme="majorBidi"/>
          <w:bCs/>
          <w:sz w:val="24"/>
          <w:szCs w:val="24"/>
        </w:rPr>
      </w:pPr>
      <w:r w:rsidRPr="00F0615F">
        <w:rPr>
          <w:rFonts w:asciiTheme="majorBidi" w:hAnsiTheme="majorBidi" w:cstheme="majorBidi"/>
          <w:bCs/>
          <w:sz w:val="24"/>
          <w:szCs w:val="24"/>
        </w:rPr>
        <w:t>Je souhaite également exprimer ma reconnaissance pour le soutien reçu et adresser à tous nos concitoyens de l’AES et du Niger mes salutations ainsi que mes vœux de paix, de prospérité et d’unité nationale.</w:t>
      </w:r>
    </w:p>
    <w:p w14:paraId="0EA7ADEF"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Dans le cadre du Programme de Résilience pour la Sauvegarde de la Patrie (PRSP), notre département a reçu une lettre de mission articulée autour de quatre axes principaux :</w:t>
      </w:r>
    </w:p>
    <w:p w14:paraId="43320DA8" w14:textId="77777777" w:rsidR="00EC4B41" w:rsidRPr="00F0615F" w:rsidRDefault="00EC4B41" w:rsidP="001812A6">
      <w:pPr>
        <w:jc w:val="both"/>
        <w:rPr>
          <w:rFonts w:asciiTheme="majorBidi" w:hAnsiTheme="majorBidi" w:cstheme="majorBidi"/>
          <w:bCs/>
          <w:i/>
          <w:sz w:val="24"/>
          <w:szCs w:val="24"/>
        </w:rPr>
      </w:pPr>
      <w:r w:rsidRPr="00F0615F">
        <w:rPr>
          <w:rFonts w:asciiTheme="majorBidi" w:hAnsiTheme="majorBidi" w:cstheme="majorBidi"/>
          <w:bCs/>
          <w:i/>
          <w:sz w:val="24"/>
          <w:szCs w:val="24"/>
        </w:rPr>
        <w:t>1. Définir une stratégie visant l'amélioration du cadre de vie dans les centres urbains (hygiène et assainissement, aménagement des espaces publics, logements sociaux, etc.) en collaboration avec les collectivités territoriales ;</w:t>
      </w:r>
    </w:p>
    <w:p w14:paraId="4ABD608C" w14:textId="77777777" w:rsidR="00EC4B41" w:rsidRPr="00F0615F" w:rsidRDefault="00EC4B41" w:rsidP="001812A6">
      <w:pPr>
        <w:jc w:val="both"/>
        <w:rPr>
          <w:rFonts w:asciiTheme="majorBidi" w:hAnsiTheme="majorBidi" w:cstheme="majorBidi"/>
          <w:bCs/>
          <w:i/>
          <w:sz w:val="24"/>
          <w:szCs w:val="24"/>
        </w:rPr>
      </w:pPr>
      <w:r w:rsidRPr="00F0615F">
        <w:rPr>
          <w:rFonts w:asciiTheme="majorBidi" w:hAnsiTheme="majorBidi" w:cstheme="majorBidi"/>
          <w:bCs/>
          <w:i/>
          <w:sz w:val="24"/>
          <w:szCs w:val="24"/>
        </w:rPr>
        <w:t>2. Encourager des modèles de construction valorisant les matériaux locaux et adaptés aux conditions climatiques ;</w:t>
      </w:r>
    </w:p>
    <w:p w14:paraId="019C33CA" w14:textId="77777777" w:rsidR="00EC4B41" w:rsidRPr="00F0615F" w:rsidRDefault="00EC4B41" w:rsidP="001812A6">
      <w:pPr>
        <w:jc w:val="both"/>
        <w:rPr>
          <w:rFonts w:asciiTheme="majorBidi" w:hAnsiTheme="majorBidi" w:cstheme="majorBidi"/>
          <w:bCs/>
          <w:i/>
          <w:sz w:val="24"/>
          <w:szCs w:val="24"/>
        </w:rPr>
      </w:pPr>
      <w:r w:rsidRPr="00F0615F">
        <w:rPr>
          <w:rFonts w:asciiTheme="majorBidi" w:hAnsiTheme="majorBidi" w:cstheme="majorBidi"/>
          <w:bCs/>
          <w:i/>
          <w:sz w:val="24"/>
          <w:szCs w:val="24"/>
        </w:rPr>
        <w:t>3. Accélérer la modernisation du cadastre et optimiser la couverture cartographique du territoire ;</w:t>
      </w:r>
    </w:p>
    <w:p w14:paraId="6DB9D7D0" w14:textId="77777777" w:rsidR="00EC4B41" w:rsidRPr="00F0615F" w:rsidRDefault="00EC4B41" w:rsidP="001812A6">
      <w:pPr>
        <w:jc w:val="both"/>
        <w:rPr>
          <w:rFonts w:asciiTheme="majorBidi" w:hAnsiTheme="majorBidi" w:cstheme="majorBidi"/>
          <w:bCs/>
          <w:i/>
          <w:sz w:val="24"/>
          <w:szCs w:val="24"/>
        </w:rPr>
      </w:pPr>
      <w:r w:rsidRPr="00F0615F">
        <w:rPr>
          <w:rFonts w:asciiTheme="majorBidi" w:hAnsiTheme="majorBidi" w:cstheme="majorBidi"/>
          <w:bCs/>
          <w:i/>
          <w:sz w:val="24"/>
          <w:szCs w:val="24"/>
        </w:rPr>
        <w:t>4. Mettre en place un dispositif adéquat d'évaluation des résultats et de mesure de la performance des actions du ministère.</w:t>
      </w:r>
    </w:p>
    <w:p w14:paraId="40C4E3D3"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Diverses initiatives ont été déployées conformément à cette lettre de mission.</w:t>
      </w:r>
    </w:p>
    <w:p w14:paraId="59A6BFB5"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En premier lieu, une stratégie dédiée à l’amélioration du cadre de vie urbain (hygiène, assainissement, espaces publics, logements sociaux) a été élaborée en étroite coordination avec les collectivités.</w:t>
      </w:r>
    </w:p>
    <w:p w14:paraId="2050D1CB" w14:textId="77777777" w:rsidR="00EC4B41" w:rsidRPr="00F0615F" w:rsidRDefault="00EC4B41" w:rsidP="001812A6">
      <w:pPr>
        <w:jc w:val="both"/>
        <w:rPr>
          <w:rFonts w:asciiTheme="majorBidi" w:hAnsiTheme="majorBidi" w:cstheme="majorBidi"/>
          <w:bCs/>
          <w:sz w:val="24"/>
          <w:szCs w:val="24"/>
          <w:u w:val="single"/>
        </w:rPr>
      </w:pPr>
      <w:r w:rsidRPr="00F0615F">
        <w:rPr>
          <w:rFonts w:asciiTheme="majorBidi" w:hAnsiTheme="majorBidi" w:cstheme="majorBidi"/>
          <w:bCs/>
          <w:sz w:val="24"/>
          <w:szCs w:val="24"/>
          <w:u w:val="single"/>
        </w:rPr>
        <w:t>Au titre de l’urbanisme, de l’habitat et de la promotion des logements, les résultats suivants ont été obtenus :</w:t>
      </w:r>
    </w:p>
    <w:p w14:paraId="2D8FD82C" w14:textId="3AF38DFD"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Construction de 155 logements sociaux à la </w:t>
      </w:r>
      <w:proofErr w:type="gramStart"/>
      <w:r w:rsidRPr="00F0615F">
        <w:rPr>
          <w:rFonts w:asciiTheme="majorBidi" w:hAnsiTheme="majorBidi" w:cstheme="majorBidi"/>
          <w:bCs/>
          <w:sz w:val="24"/>
          <w:szCs w:val="24"/>
        </w:rPr>
        <w:t>cité  «</w:t>
      </w:r>
      <w:proofErr w:type="gramEnd"/>
      <w:r w:rsidRPr="00F0615F">
        <w:rPr>
          <w:rFonts w:asciiTheme="majorBidi" w:hAnsiTheme="majorBidi" w:cstheme="majorBidi"/>
          <w:bCs/>
          <w:sz w:val="24"/>
          <w:szCs w:val="24"/>
        </w:rPr>
        <w:t xml:space="preserve"> Diaspora », avec la réception et la remise de 100 unités aux bénéficiaires.</w:t>
      </w:r>
    </w:p>
    <w:p w14:paraId="5335EF3A"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Construction de 882 logements sociaux à </w:t>
      </w:r>
      <w:proofErr w:type="spellStart"/>
      <w:r w:rsidRPr="00F0615F">
        <w:rPr>
          <w:rFonts w:asciiTheme="majorBidi" w:hAnsiTheme="majorBidi" w:cstheme="majorBidi"/>
          <w:bCs/>
          <w:sz w:val="24"/>
          <w:szCs w:val="24"/>
        </w:rPr>
        <w:t>Bangoula</w:t>
      </w:r>
      <w:proofErr w:type="spellEnd"/>
      <w:r w:rsidRPr="00F0615F">
        <w:rPr>
          <w:rFonts w:asciiTheme="majorBidi" w:hAnsiTheme="majorBidi" w:cstheme="majorBidi"/>
          <w:bCs/>
          <w:sz w:val="24"/>
          <w:szCs w:val="24"/>
        </w:rPr>
        <w:t xml:space="preserve"> au profit de la Garde Nationale du Niger, dont une première tranche de 300 logements achevés et attribués, et préparation du lancement de la deuxième tranche de 300 logements prévue pour avril 2026.</w:t>
      </w:r>
    </w:p>
    <w:p w14:paraId="21040CA2"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Mise à disposition de 974 parcelles destinées à la Gendarmerie Nationale du Niger pour la réalisation de logements sociaux.</w:t>
      </w:r>
    </w:p>
    <w:p w14:paraId="34B0F5DB"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Construction de 308 logements sociaux de type F1 financés par le Budget National, dont 22 logements sont entièrement achevés.</w:t>
      </w:r>
    </w:p>
    <w:p w14:paraId="5085D2FA"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Réalisation de 500 logements avec la Société EUROWORLD INTERNATIONAL dans la « Cité Diaspora », dont une première phase de 103 logements livrés.</w:t>
      </w:r>
    </w:p>
    <w:p w14:paraId="28FACFAE"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Finalisation de la première campagne de souscription et lancement de la seconde campagne du projet de 15 000 parcelles viabilisées à BANGOULA : 710 parcelles réceptionnées, 328 attribuées, et 858 notifications envoyées aux souscripteurs éligibles.</w:t>
      </w:r>
    </w:p>
    <w:p w14:paraId="3CE6B691"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lastRenderedPageBreak/>
        <w:t xml:space="preserve">Exécution de travaux de chaussées drainantes et ouvrages d’assainissement sur quelque 1374 mètres linéaires pour les logements de </w:t>
      </w:r>
      <w:proofErr w:type="spellStart"/>
      <w:r w:rsidRPr="00F0615F">
        <w:rPr>
          <w:rFonts w:asciiTheme="majorBidi" w:hAnsiTheme="majorBidi" w:cstheme="majorBidi"/>
          <w:bCs/>
          <w:sz w:val="24"/>
          <w:szCs w:val="24"/>
        </w:rPr>
        <w:t>Bangoula</w:t>
      </w:r>
      <w:proofErr w:type="spellEnd"/>
      <w:r w:rsidRPr="00F0615F">
        <w:rPr>
          <w:rFonts w:asciiTheme="majorBidi" w:hAnsiTheme="majorBidi" w:cstheme="majorBidi"/>
          <w:bCs/>
          <w:sz w:val="24"/>
          <w:szCs w:val="24"/>
        </w:rPr>
        <w:t>.</w:t>
      </w:r>
    </w:p>
    <w:p w14:paraId="49632E0C"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Construction de 1000 logements abordables à Sorey, dont 400 sont terminés et en cours de remise des clés (partenariat SONUCI/BANGA IMMOBILIER).</w:t>
      </w:r>
    </w:p>
    <w:p w14:paraId="6BFD3C0A" w14:textId="77777777" w:rsidR="00EC4B41"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Achèvement de la construction de 50 villas dans la Cité 1 de Niamey entamée en 2012, avec 22 villas terminées et remises aux souscripteurs le 5 juin 2024 (SONUCI).</w:t>
      </w:r>
    </w:p>
    <w:p w14:paraId="76A4C066" w14:textId="46E5766E" w:rsidR="003C6F98" w:rsidRPr="00F0615F" w:rsidRDefault="00EC4B41" w:rsidP="001812A6">
      <w:pPr>
        <w:pStyle w:val="Paragraphedeliste"/>
        <w:numPr>
          <w:ilvl w:val="0"/>
          <w:numId w:val="54"/>
        </w:numPr>
        <w:ind w:left="720"/>
        <w:jc w:val="both"/>
        <w:rPr>
          <w:rFonts w:asciiTheme="majorBidi" w:hAnsiTheme="majorBidi" w:cstheme="majorBidi"/>
          <w:bCs/>
          <w:sz w:val="24"/>
          <w:szCs w:val="24"/>
        </w:rPr>
      </w:pPr>
      <w:r w:rsidRPr="00F0615F">
        <w:rPr>
          <w:rFonts w:asciiTheme="majorBidi" w:hAnsiTheme="majorBidi" w:cstheme="majorBidi"/>
          <w:bCs/>
          <w:sz w:val="24"/>
          <w:szCs w:val="24"/>
        </w:rPr>
        <w:t>Démarrage des études techniques pour le programme de finition de 60 villas dans la Cité 2 à Dosso (SONUCI).</w:t>
      </w:r>
    </w:p>
    <w:p w14:paraId="2A4DDCB4"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Afin d’optimiser la gouvernance et le développement urbain, le ministère a élaboré plusieurs documents de planification, notamment :</w:t>
      </w:r>
    </w:p>
    <w:p w14:paraId="5E745D2F"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L’élaboration du Schéma Directeur d’Aménagement et d’Urbanisme (SDAU) pour la ville de Niamey et ses environs, dont l’atelier de validation du rapport de diagnostic se tiendra prochainement ;</w:t>
      </w:r>
    </w:p>
    <w:p w14:paraId="1E92549B"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La finalisation des Schémas Directeurs d’Aménagement et d’Urbanisme (SDAU) pour la ville de Zinder ainsi que pour les communes urbaines de Tillabéry et </w:t>
      </w:r>
      <w:proofErr w:type="spellStart"/>
      <w:r w:rsidRPr="00F0615F">
        <w:rPr>
          <w:rFonts w:asciiTheme="majorBidi" w:hAnsiTheme="majorBidi" w:cstheme="majorBidi"/>
          <w:bCs/>
          <w:sz w:val="24"/>
          <w:szCs w:val="24"/>
        </w:rPr>
        <w:t>Magaria</w:t>
      </w:r>
      <w:proofErr w:type="spellEnd"/>
      <w:r w:rsidRPr="00F0615F">
        <w:rPr>
          <w:rFonts w:asciiTheme="majorBidi" w:hAnsiTheme="majorBidi" w:cstheme="majorBidi"/>
          <w:bCs/>
          <w:sz w:val="24"/>
          <w:szCs w:val="24"/>
        </w:rPr>
        <w:t xml:space="preserve"> ;</w:t>
      </w:r>
    </w:p>
    <w:p w14:paraId="3B6C88BA"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L’élaboration en cours du SDAU pour la commune urbaine de Diffa ;</w:t>
      </w:r>
    </w:p>
    <w:p w14:paraId="1D5BCF56"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La préparation des Plans Urbains de Référence (PUR) pour les communes urbaines de Birni </w:t>
      </w:r>
      <w:proofErr w:type="spellStart"/>
      <w:r w:rsidRPr="00F0615F">
        <w:rPr>
          <w:rFonts w:asciiTheme="majorBidi" w:hAnsiTheme="majorBidi" w:cstheme="majorBidi"/>
          <w:bCs/>
          <w:sz w:val="24"/>
          <w:szCs w:val="24"/>
        </w:rPr>
        <w:t>Ngaoure</w:t>
      </w:r>
      <w:proofErr w:type="spellEnd"/>
      <w:r w:rsidRPr="00F0615F">
        <w:rPr>
          <w:rFonts w:asciiTheme="majorBidi" w:hAnsiTheme="majorBidi" w:cstheme="majorBidi"/>
          <w:bCs/>
          <w:sz w:val="24"/>
          <w:szCs w:val="24"/>
        </w:rPr>
        <w:t xml:space="preserve"> et Gaya ;</w:t>
      </w:r>
    </w:p>
    <w:p w14:paraId="59E6F02A"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L’élaboration du PUR de </w:t>
      </w:r>
      <w:proofErr w:type="spellStart"/>
      <w:r w:rsidRPr="00F0615F">
        <w:rPr>
          <w:rFonts w:asciiTheme="majorBidi" w:hAnsiTheme="majorBidi" w:cstheme="majorBidi"/>
          <w:bCs/>
          <w:sz w:val="24"/>
          <w:szCs w:val="24"/>
        </w:rPr>
        <w:t>Guidimouni</w:t>
      </w:r>
      <w:proofErr w:type="spellEnd"/>
      <w:r w:rsidRPr="00F0615F">
        <w:rPr>
          <w:rFonts w:asciiTheme="majorBidi" w:hAnsiTheme="majorBidi" w:cstheme="majorBidi"/>
          <w:bCs/>
          <w:sz w:val="24"/>
          <w:szCs w:val="24"/>
        </w:rPr>
        <w:t xml:space="preserve"> ;</w:t>
      </w:r>
    </w:p>
    <w:p w14:paraId="7732F686"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L’organisation d’ateliers de vulgarisation des textes relatifs à l’urbanisme, la construction et l’habitation dans les régions de Maradi, Tahoua et Zinder, avec une extension prévue dans les autres régions ;</w:t>
      </w:r>
    </w:p>
    <w:p w14:paraId="4D0170E6" w14:textId="77777777" w:rsidR="00EC4B41" w:rsidRPr="00F0615F" w:rsidRDefault="00EC4B41" w:rsidP="001812A6">
      <w:pPr>
        <w:pStyle w:val="Paragraphedeliste"/>
        <w:numPr>
          <w:ilvl w:val="0"/>
          <w:numId w:val="55"/>
        </w:numPr>
        <w:ind w:left="720"/>
        <w:jc w:val="both"/>
        <w:rPr>
          <w:rFonts w:asciiTheme="majorBidi" w:hAnsiTheme="majorBidi" w:cstheme="majorBidi"/>
          <w:bCs/>
          <w:sz w:val="24"/>
          <w:szCs w:val="24"/>
        </w:rPr>
      </w:pPr>
      <w:r w:rsidRPr="00F0615F">
        <w:rPr>
          <w:rFonts w:asciiTheme="majorBidi" w:hAnsiTheme="majorBidi" w:cstheme="majorBidi"/>
          <w:bCs/>
          <w:sz w:val="24"/>
          <w:szCs w:val="24"/>
        </w:rPr>
        <w:t>L’étude d’une nouvelle ordonnance concernant le régime foncier au Niger.</w:t>
      </w:r>
    </w:p>
    <w:p w14:paraId="429DE006"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Concernant la gestion du foncier, un audit exhaustif des lotissements privés réalisés entre 2004 et 2021 a été initié en collaboration avec la ville de Niamey. Pour garantir la disponibilité durable des terrains, l’État a développé une stratégie de mobilisation comprenant la création de lotissements destinés aux logements sociaux afin de constituer des réserves foncières sécurisées appuyant les politiques nationales de logement et de développement urbain. À titre d’exemple :</w:t>
      </w:r>
    </w:p>
    <w:p w14:paraId="2BFF8936" w14:textId="77777777" w:rsidR="00EC4B41" w:rsidRPr="00F0615F" w:rsidRDefault="00EC4B41" w:rsidP="001812A6">
      <w:pPr>
        <w:pStyle w:val="Paragraphedeliste"/>
        <w:numPr>
          <w:ilvl w:val="0"/>
          <w:numId w:val="56"/>
        </w:numPr>
        <w:ind w:left="720"/>
        <w:jc w:val="both"/>
        <w:rPr>
          <w:rFonts w:asciiTheme="majorBidi" w:hAnsiTheme="majorBidi" w:cstheme="majorBidi"/>
          <w:bCs/>
          <w:sz w:val="24"/>
          <w:szCs w:val="24"/>
        </w:rPr>
      </w:pPr>
      <w:r w:rsidRPr="00F0615F">
        <w:rPr>
          <w:rFonts w:asciiTheme="majorBidi" w:hAnsiTheme="majorBidi" w:cstheme="majorBidi"/>
          <w:bCs/>
          <w:sz w:val="24"/>
          <w:szCs w:val="24"/>
        </w:rPr>
        <w:t>Diffa : 5 000 parcelles mobilisées et 21 terrains d’équipements ;</w:t>
      </w:r>
    </w:p>
    <w:p w14:paraId="78ACE1C8" w14:textId="77777777" w:rsidR="00EC4B41" w:rsidRPr="00F0615F" w:rsidRDefault="00EC4B41" w:rsidP="001812A6">
      <w:pPr>
        <w:pStyle w:val="Paragraphedeliste"/>
        <w:numPr>
          <w:ilvl w:val="0"/>
          <w:numId w:val="56"/>
        </w:numPr>
        <w:ind w:left="720"/>
        <w:jc w:val="both"/>
        <w:rPr>
          <w:rFonts w:asciiTheme="majorBidi" w:hAnsiTheme="majorBidi" w:cstheme="majorBidi"/>
          <w:bCs/>
          <w:sz w:val="24"/>
          <w:szCs w:val="24"/>
        </w:rPr>
      </w:pPr>
      <w:r w:rsidRPr="00F0615F">
        <w:rPr>
          <w:rFonts w:asciiTheme="majorBidi" w:hAnsiTheme="majorBidi" w:cstheme="majorBidi"/>
          <w:bCs/>
          <w:sz w:val="24"/>
          <w:szCs w:val="24"/>
        </w:rPr>
        <w:t>Tahoua : 1 200 parcelles mobilisées et 33 terrains d’équipements ;</w:t>
      </w:r>
    </w:p>
    <w:p w14:paraId="4516FFA7" w14:textId="77777777" w:rsidR="00EC4B41" w:rsidRPr="00F0615F" w:rsidRDefault="00EC4B41" w:rsidP="001812A6">
      <w:pPr>
        <w:pStyle w:val="Paragraphedeliste"/>
        <w:numPr>
          <w:ilvl w:val="0"/>
          <w:numId w:val="56"/>
        </w:numPr>
        <w:ind w:left="720"/>
        <w:jc w:val="both"/>
        <w:rPr>
          <w:rFonts w:asciiTheme="majorBidi" w:hAnsiTheme="majorBidi" w:cstheme="majorBidi"/>
          <w:bCs/>
          <w:sz w:val="24"/>
          <w:szCs w:val="24"/>
        </w:rPr>
      </w:pPr>
      <w:r w:rsidRPr="00F0615F">
        <w:rPr>
          <w:rFonts w:asciiTheme="majorBidi" w:hAnsiTheme="majorBidi" w:cstheme="majorBidi"/>
          <w:bCs/>
          <w:sz w:val="24"/>
          <w:szCs w:val="24"/>
        </w:rPr>
        <w:t>Agadez : 1 200 parcelles mobilisées et 33 terrains d’équipements ;</w:t>
      </w:r>
    </w:p>
    <w:p w14:paraId="17EFDCDC" w14:textId="77777777" w:rsidR="00EC4B41" w:rsidRPr="00F0615F" w:rsidRDefault="00EC4B41" w:rsidP="001812A6">
      <w:pPr>
        <w:pStyle w:val="Paragraphedeliste"/>
        <w:numPr>
          <w:ilvl w:val="0"/>
          <w:numId w:val="56"/>
        </w:numPr>
        <w:ind w:left="720"/>
        <w:jc w:val="both"/>
        <w:rPr>
          <w:rFonts w:asciiTheme="majorBidi" w:hAnsiTheme="majorBidi" w:cstheme="majorBidi"/>
          <w:bCs/>
          <w:sz w:val="24"/>
          <w:szCs w:val="24"/>
        </w:rPr>
      </w:pPr>
      <w:r w:rsidRPr="00F0615F">
        <w:rPr>
          <w:rFonts w:asciiTheme="majorBidi" w:hAnsiTheme="majorBidi" w:cstheme="majorBidi"/>
          <w:bCs/>
          <w:sz w:val="24"/>
          <w:szCs w:val="24"/>
        </w:rPr>
        <w:t>Zinder : 2 000 parcelles et 48 terrains d’équipements en cours de mobilisation ;</w:t>
      </w:r>
    </w:p>
    <w:p w14:paraId="5B373D72" w14:textId="77777777" w:rsidR="00EC4B41" w:rsidRPr="00F0615F" w:rsidRDefault="00EC4B41" w:rsidP="001812A6">
      <w:pPr>
        <w:pStyle w:val="Paragraphedeliste"/>
        <w:numPr>
          <w:ilvl w:val="0"/>
          <w:numId w:val="56"/>
        </w:numPr>
        <w:ind w:left="720"/>
        <w:jc w:val="both"/>
        <w:rPr>
          <w:rFonts w:asciiTheme="majorBidi" w:hAnsiTheme="majorBidi" w:cstheme="majorBidi"/>
          <w:bCs/>
          <w:sz w:val="24"/>
          <w:szCs w:val="24"/>
        </w:rPr>
      </w:pPr>
      <w:r w:rsidRPr="00F0615F">
        <w:rPr>
          <w:rFonts w:asciiTheme="majorBidi" w:hAnsiTheme="majorBidi" w:cstheme="majorBidi"/>
          <w:bCs/>
          <w:sz w:val="24"/>
          <w:szCs w:val="24"/>
        </w:rPr>
        <w:t>Dosso : 1 000 parcelles mobilisées et 18 terrains d’équipements ;</w:t>
      </w:r>
    </w:p>
    <w:p w14:paraId="7C33096E" w14:textId="77777777" w:rsidR="00EC4B41" w:rsidRPr="00F0615F" w:rsidRDefault="00EC4B41" w:rsidP="001812A6">
      <w:pPr>
        <w:pStyle w:val="Paragraphedeliste"/>
        <w:numPr>
          <w:ilvl w:val="0"/>
          <w:numId w:val="56"/>
        </w:numPr>
        <w:ind w:left="720"/>
        <w:jc w:val="both"/>
        <w:rPr>
          <w:rFonts w:asciiTheme="majorBidi" w:hAnsiTheme="majorBidi" w:cstheme="majorBidi"/>
          <w:bCs/>
          <w:sz w:val="24"/>
          <w:szCs w:val="24"/>
        </w:rPr>
      </w:pPr>
      <w:r w:rsidRPr="00F0615F">
        <w:rPr>
          <w:rFonts w:asciiTheme="majorBidi" w:hAnsiTheme="majorBidi" w:cstheme="majorBidi"/>
          <w:bCs/>
          <w:sz w:val="24"/>
          <w:szCs w:val="24"/>
        </w:rPr>
        <w:t>Niamey : 1 300 parcelles mobilisées, etc.</w:t>
      </w:r>
    </w:p>
    <w:p w14:paraId="102D9DB4" w14:textId="3C026FF0" w:rsidR="00A901A2"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La Commission Nationale de Tarification des Loyers (CNLT) a été instituée par le Décret n°2025-483/PRN/MU/H/ME/F du 4 septembre 2025. Un Arrêté conjoint n°000214/MUH/MEF du 17 novembre 2025 portant nomination des membres de la commission nationale de tarification des loyers a également été adopté. Les travaux de cette commission sont en cours.</w:t>
      </w:r>
    </w:p>
    <w:p w14:paraId="48265C47" w14:textId="77777777" w:rsidR="003C6F98" w:rsidRPr="00F0615F" w:rsidRDefault="003C6F98" w:rsidP="001812A6">
      <w:pPr>
        <w:spacing w:after="0" w:line="360" w:lineRule="auto"/>
        <w:ind w:left="360"/>
        <w:jc w:val="both"/>
        <w:rPr>
          <w:rFonts w:asciiTheme="majorBidi" w:hAnsiTheme="majorBidi" w:cstheme="majorBidi"/>
          <w:bCs/>
          <w:sz w:val="24"/>
          <w:szCs w:val="24"/>
        </w:rPr>
      </w:pPr>
    </w:p>
    <w:p w14:paraId="1A8BB683" w14:textId="77777777" w:rsidR="00EC4B41" w:rsidRPr="00F0615F" w:rsidRDefault="00EC4B41" w:rsidP="001812A6">
      <w:pPr>
        <w:jc w:val="both"/>
        <w:rPr>
          <w:rFonts w:asciiTheme="majorBidi" w:hAnsiTheme="majorBidi" w:cstheme="majorBidi"/>
          <w:bCs/>
          <w:sz w:val="24"/>
          <w:szCs w:val="24"/>
          <w:u w:val="single"/>
        </w:rPr>
      </w:pPr>
      <w:r w:rsidRPr="00F0615F">
        <w:rPr>
          <w:rFonts w:asciiTheme="majorBidi" w:hAnsiTheme="majorBidi" w:cstheme="majorBidi"/>
          <w:bCs/>
          <w:sz w:val="24"/>
          <w:szCs w:val="24"/>
          <w:u w:val="single"/>
        </w:rPr>
        <w:t>Gestion du Foncier</w:t>
      </w:r>
    </w:p>
    <w:p w14:paraId="67CB8B03"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lastRenderedPageBreak/>
        <w:t xml:space="preserve">Dans le cadre de la politique de sécurisation et de valorisation du domaine foncier de l’État, conformément aux directives du </w:t>
      </w:r>
      <w:proofErr w:type="gramStart"/>
      <w:r w:rsidRPr="00F0615F">
        <w:rPr>
          <w:rFonts w:asciiTheme="majorBidi" w:hAnsiTheme="majorBidi" w:cstheme="majorBidi"/>
          <w:bCs/>
          <w:sz w:val="24"/>
          <w:szCs w:val="24"/>
        </w:rPr>
        <w:t>Ministre de l’Urbanisme</w:t>
      </w:r>
      <w:proofErr w:type="gramEnd"/>
      <w:r w:rsidRPr="00F0615F">
        <w:rPr>
          <w:rFonts w:asciiTheme="majorBidi" w:hAnsiTheme="majorBidi" w:cstheme="majorBidi"/>
          <w:bCs/>
          <w:sz w:val="24"/>
          <w:szCs w:val="24"/>
        </w:rPr>
        <w:t xml:space="preserve"> et de l’Habitat, des opérations de recensement et de récupération des réserves foncières appartenant à l’État ont été menées dans la ville de Niamey. Ces actions s’inscrivent dans la stratégie de sécurisation et de restauration du domaine foncier étatique, notamment en application du point 3 de la lettre de mission du MUH (Accélérer la modernisation du cadastre et l’amélioration de la couverture cartographique du territoire). Depuis 2025, ces démarches ont permis la récupération de plusieurs hectares de domaines publics et la restauration de nombreuses réserves foncières par les autorités compétentes.</w:t>
      </w:r>
    </w:p>
    <w:p w14:paraId="0ABBF537"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Parmi les opérations notables, celles réalisées entre juillet et décembre 2025 ont abouti au recensement de 137 réserves foncières du domaine public. Au total, cinquante-sept (57) réserves ont été récupérées, représentant une superficie de 66 hectares. Les lotissements concernés incluent : Cité 2011, Cité 2010 Niamey 2000, Sary Koubou phases I et II, Cité SA’A, Koira Kano, Koban Tafa, Cité Enseignants Chercheurs, Cité du Progrès, Nord Faisceau, SONUCI Renaissance, Diaspora II, ainsi qu’un délaissé de voirie du Nord-Lazaret (voie de 100 m).</w:t>
      </w:r>
    </w:p>
    <w:p w14:paraId="1E5B77F5"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Certaines réserves ont fait l’objet de tentatives de vente, notamment :</w:t>
      </w:r>
    </w:p>
    <w:p w14:paraId="116E41B4" w14:textId="77777777" w:rsidR="00EC4B41" w:rsidRPr="00F0615F" w:rsidRDefault="00EC4B41" w:rsidP="001812A6">
      <w:pPr>
        <w:pStyle w:val="Paragraphedeliste"/>
        <w:numPr>
          <w:ilvl w:val="0"/>
          <w:numId w:val="57"/>
        </w:numPr>
        <w:ind w:left="720"/>
        <w:jc w:val="both"/>
        <w:rPr>
          <w:rFonts w:asciiTheme="majorBidi" w:hAnsiTheme="majorBidi" w:cstheme="majorBidi"/>
          <w:bCs/>
          <w:sz w:val="24"/>
          <w:szCs w:val="24"/>
        </w:rPr>
      </w:pPr>
      <w:r w:rsidRPr="00F0615F">
        <w:rPr>
          <w:rFonts w:asciiTheme="majorBidi" w:hAnsiTheme="majorBidi" w:cstheme="majorBidi"/>
          <w:bCs/>
          <w:sz w:val="24"/>
          <w:szCs w:val="24"/>
        </w:rPr>
        <w:t>L’îlot 9300 d’une superficie de 1,64 ha, lotissement Route Tillabéry SONUCI, destiné à la construction d’un marché moderne conformément à l’arrêté n°0153 MUL/SG/DGU/IU/DGDFP du 07 septembre 2013 ;</w:t>
      </w:r>
    </w:p>
    <w:p w14:paraId="452D896E" w14:textId="77777777" w:rsidR="00EC4B41" w:rsidRPr="00F0615F" w:rsidRDefault="00EC4B41" w:rsidP="001812A6">
      <w:pPr>
        <w:pStyle w:val="Paragraphedeliste"/>
        <w:numPr>
          <w:ilvl w:val="0"/>
          <w:numId w:val="57"/>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Une partie de l’îlot 6131 (6 600 m²), lotissement « Sary </w:t>
      </w:r>
      <w:proofErr w:type="spellStart"/>
      <w:r w:rsidRPr="00F0615F">
        <w:rPr>
          <w:rFonts w:asciiTheme="majorBidi" w:hAnsiTheme="majorBidi" w:cstheme="majorBidi"/>
          <w:bCs/>
          <w:sz w:val="24"/>
          <w:szCs w:val="24"/>
        </w:rPr>
        <w:t>Koubou</w:t>
      </w:r>
      <w:proofErr w:type="spellEnd"/>
      <w:r w:rsidRPr="00F0615F">
        <w:rPr>
          <w:rFonts w:asciiTheme="majorBidi" w:hAnsiTheme="majorBidi" w:cstheme="majorBidi"/>
          <w:bCs/>
          <w:sz w:val="24"/>
          <w:szCs w:val="24"/>
        </w:rPr>
        <w:t xml:space="preserve"> », affectée à la construction d’un centre de santé selon l’arrêté n°00145/ MDU/L/SG/DGDE/C/DDPDP/NBE du 14 juillet 2020.</w:t>
      </w:r>
    </w:p>
    <w:p w14:paraId="7A55A3D2"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 xml:space="preserve">En janvier-février 2026, le Ministère a réalisé un recensement exhaustif des terrains publics affectés à Niamey afin de vérifier l’état d’exploitation ou de mise en valeur des réserves attribuées entre 2017 et 2022. Au terme de cette opération, 274 terrains publics ont été identifiés, dont 93 jugés récupérables, soit une superficie totale de 45 hectares. Les lotissements concernés sont : Additif Nord Escadrille, Est </w:t>
      </w:r>
      <w:proofErr w:type="spellStart"/>
      <w:r w:rsidRPr="00F0615F">
        <w:rPr>
          <w:rFonts w:asciiTheme="majorBidi" w:hAnsiTheme="majorBidi" w:cstheme="majorBidi"/>
          <w:bCs/>
          <w:sz w:val="24"/>
          <w:szCs w:val="24"/>
        </w:rPr>
        <w:t>Kobontafa</w:t>
      </w:r>
      <w:proofErr w:type="spellEnd"/>
      <w:r w:rsidRPr="00F0615F">
        <w:rPr>
          <w:rFonts w:asciiTheme="majorBidi" w:hAnsiTheme="majorBidi" w:cstheme="majorBidi"/>
          <w:bCs/>
          <w:sz w:val="24"/>
          <w:szCs w:val="24"/>
        </w:rPr>
        <w:t xml:space="preserve">, Kobontafa, Route Tillabéry, ZAC.I et II, </w:t>
      </w:r>
      <w:proofErr w:type="spellStart"/>
      <w:r w:rsidRPr="00F0615F">
        <w:rPr>
          <w:rFonts w:asciiTheme="majorBidi" w:hAnsiTheme="majorBidi" w:cstheme="majorBidi"/>
          <w:bCs/>
          <w:sz w:val="24"/>
          <w:szCs w:val="24"/>
        </w:rPr>
        <w:t>Babafandou</w:t>
      </w:r>
      <w:proofErr w:type="spellEnd"/>
      <w:r w:rsidRPr="00F0615F">
        <w:rPr>
          <w:rFonts w:asciiTheme="majorBidi" w:hAnsiTheme="majorBidi" w:cstheme="majorBidi"/>
          <w:bCs/>
          <w:sz w:val="24"/>
          <w:szCs w:val="24"/>
        </w:rPr>
        <w:t xml:space="preserve">, Lot I et Lot II Route </w:t>
      </w:r>
      <w:proofErr w:type="spellStart"/>
      <w:r w:rsidRPr="00F0615F">
        <w:rPr>
          <w:rFonts w:asciiTheme="majorBidi" w:hAnsiTheme="majorBidi" w:cstheme="majorBidi"/>
          <w:bCs/>
          <w:sz w:val="24"/>
          <w:szCs w:val="24"/>
        </w:rPr>
        <w:t>Ouallam</w:t>
      </w:r>
      <w:proofErr w:type="spellEnd"/>
      <w:r w:rsidRPr="00F0615F">
        <w:rPr>
          <w:rFonts w:asciiTheme="majorBidi" w:hAnsiTheme="majorBidi" w:cstheme="majorBidi"/>
          <w:bCs/>
          <w:sz w:val="24"/>
          <w:szCs w:val="24"/>
        </w:rPr>
        <w:t xml:space="preserve">, </w:t>
      </w:r>
      <w:proofErr w:type="spellStart"/>
      <w:r w:rsidRPr="00F0615F">
        <w:rPr>
          <w:rFonts w:asciiTheme="majorBidi" w:hAnsiTheme="majorBidi" w:cstheme="majorBidi"/>
          <w:bCs/>
          <w:sz w:val="24"/>
          <w:szCs w:val="24"/>
        </w:rPr>
        <w:t>Tchangarey</w:t>
      </w:r>
      <w:proofErr w:type="spellEnd"/>
      <w:r w:rsidRPr="00F0615F">
        <w:rPr>
          <w:rFonts w:asciiTheme="majorBidi" w:hAnsiTheme="majorBidi" w:cstheme="majorBidi"/>
          <w:bCs/>
          <w:sz w:val="24"/>
          <w:szCs w:val="24"/>
        </w:rPr>
        <w:t xml:space="preserve">, Route </w:t>
      </w:r>
      <w:proofErr w:type="spellStart"/>
      <w:r w:rsidRPr="00F0615F">
        <w:rPr>
          <w:rFonts w:asciiTheme="majorBidi" w:hAnsiTheme="majorBidi" w:cstheme="majorBidi"/>
          <w:bCs/>
          <w:sz w:val="24"/>
          <w:szCs w:val="24"/>
        </w:rPr>
        <w:t>Ouallam</w:t>
      </w:r>
      <w:proofErr w:type="spellEnd"/>
      <w:r w:rsidRPr="00F0615F">
        <w:rPr>
          <w:rFonts w:asciiTheme="majorBidi" w:hAnsiTheme="majorBidi" w:cstheme="majorBidi"/>
          <w:bCs/>
          <w:sz w:val="24"/>
          <w:szCs w:val="24"/>
        </w:rPr>
        <w:t xml:space="preserve"> Triangle, Route Filingué, Saga </w:t>
      </w:r>
      <w:proofErr w:type="spellStart"/>
      <w:r w:rsidRPr="00F0615F">
        <w:rPr>
          <w:rFonts w:asciiTheme="majorBidi" w:hAnsiTheme="majorBidi" w:cstheme="majorBidi"/>
          <w:bCs/>
          <w:sz w:val="24"/>
          <w:szCs w:val="24"/>
        </w:rPr>
        <w:t>Fandou</w:t>
      </w:r>
      <w:proofErr w:type="spellEnd"/>
      <w:r w:rsidRPr="00F0615F">
        <w:rPr>
          <w:rFonts w:asciiTheme="majorBidi" w:hAnsiTheme="majorBidi" w:cstheme="majorBidi"/>
          <w:bCs/>
          <w:sz w:val="24"/>
          <w:szCs w:val="24"/>
        </w:rPr>
        <w:t xml:space="preserve">, SONUCI Renaissance, </w:t>
      </w:r>
      <w:proofErr w:type="spellStart"/>
      <w:r w:rsidRPr="00F0615F">
        <w:rPr>
          <w:rFonts w:asciiTheme="majorBidi" w:hAnsiTheme="majorBidi" w:cstheme="majorBidi"/>
          <w:bCs/>
          <w:sz w:val="24"/>
          <w:szCs w:val="24"/>
        </w:rPr>
        <w:t>Yawaré</w:t>
      </w:r>
      <w:proofErr w:type="spellEnd"/>
      <w:r w:rsidRPr="00F0615F">
        <w:rPr>
          <w:rFonts w:asciiTheme="majorBidi" w:hAnsiTheme="majorBidi" w:cstheme="majorBidi"/>
          <w:bCs/>
          <w:sz w:val="24"/>
          <w:szCs w:val="24"/>
        </w:rPr>
        <w:t xml:space="preserve"> et Garba </w:t>
      </w:r>
      <w:proofErr w:type="spellStart"/>
      <w:r w:rsidRPr="00F0615F">
        <w:rPr>
          <w:rFonts w:asciiTheme="majorBidi" w:hAnsiTheme="majorBidi" w:cstheme="majorBidi"/>
          <w:bCs/>
          <w:sz w:val="24"/>
          <w:szCs w:val="24"/>
        </w:rPr>
        <w:t>Soudjé</w:t>
      </w:r>
      <w:proofErr w:type="spellEnd"/>
      <w:r w:rsidRPr="00F0615F">
        <w:rPr>
          <w:rFonts w:asciiTheme="majorBidi" w:hAnsiTheme="majorBidi" w:cstheme="majorBidi"/>
          <w:bCs/>
          <w:sz w:val="24"/>
          <w:szCs w:val="24"/>
        </w:rPr>
        <w:t>.</w:t>
      </w:r>
    </w:p>
    <w:p w14:paraId="665D6A75"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rPr>
        <w:t>Dans le cadre de ces initiatives, environ cent panneaux de signalisation ont été implantés pour identifier les domaines publics de l’État.</w:t>
      </w:r>
    </w:p>
    <w:p w14:paraId="589F33C0" w14:textId="77777777" w:rsidR="00EC4B41" w:rsidRPr="00F0615F" w:rsidRDefault="00EC4B41" w:rsidP="001812A6">
      <w:pPr>
        <w:jc w:val="both"/>
        <w:rPr>
          <w:rFonts w:asciiTheme="majorBidi" w:hAnsiTheme="majorBidi" w:cstheme="majorBidi"/>
          <w:bCs/>
          <w:sz w:val="24"/>
          <w:szCs w:val="24"/>
        </w:rPr>
      </w:pPr>
      <w:r w:rsidRPr="00F0615F">
        <w:rPr>
          <w:rFonts w:asciiTheme="majorBidi" w:hAnsiTheme="majorBidi" w:cstheme="majorBidi"/>
          <w:bCs/>
          <w:sz w:val="24"/>
          <w:szCs w:val="24"/>
          <w:u w:val="single"/>
        </w:rPr>
        <w:t>NB</w:t>
      </w:r>
      <w:r w:rsidRPr="00F0615F">
        <w:rPr>
          <w:rFonts w:asciiTheme="majorBidi" w:hAnsiTheme="majorBidi" w:cstheme="majorBidi"/>
          <w:bCs/>
          <w:sz w:val="24"/>
          <w:szCs w:val="24"/>
        </w:rPr>
        <w:t xml:space="preserve"> : La restauration du domaine public et privé de l’État a également donné lieu à des travaux de délimitation sur les terrains suivants :</w:t>
      </w:r>
    </w:p>
    <w:p w14:paraId="78930B0A" w14:textId="77777777" w:rsidR="00EC4B41" w:rsidRPr="00F0615F" w:rsidRDefault="00EC4B41" w:rsidP="001812A6">
      <w:pPr>
        <w:pStyle w:val="Paragraphedeliste"/>
        <w:numPr>
          <w:ilvl w:val="0"/>
          <w:numId w:val="58"/>
        </w:numPr>
        <w:ind w:left="720"/>
        <w:jc w:val="both"/>
        <w:rPr>
          <w:rFonts w:asciiTheme="majorBidi" w:hAnsiTheme="majorBidi" w:cstheme="majorBidi"/>
          <w:bCs/>
          <w:sz w:val="24"/>
          <w:szCs w:val="24"/>
        </w:rPr>
      </w:pPr>
      <w:r w:rsidRPr="00F0615F">
        <w:rPr>
          <w:rFonts w:asciiTheme="majorBidi" w:hAnsiTheme="majorBidi" w:cstheme="majorBidi"/>
          <w:bCs/>
          <w:sz w:val="24"/>
          <w:szCs w:val="24"/>
        </w:rPr>
        <w:t>Terrain situé le long de la voie express vers l’aéroport (Titre Foncier n°1044) ;</w:t>
      </w:r>
    </w:p>
    <w:p w14:paraId="7C3CD234" w14:textId="77777777" w:rsidR="00EC4B41" w:rsidRPr="00F0615F" w:rsidRDefault="00EC4B41" w:rsidP="001812A6">
      <w:pPr>
        <w:pStyle w:val="Paragraphedeliste"/>
        <w:numPr>
          <w:ilvl w:val="0"/>
          <w:numId w:val="58"/>
        </w:numPr>
        <w:ind w:left="720"/>
        <w:jc w:val="both"/>
        <w:rPr>
          <w:rFonts w:asciiTheme="majorBidi" w:hAnsiTheme="majorBidi" w:cstheme="majorBidi"/>
          <w:bCs/>
          <w:sz w:val="24"/>
          <w:szCs w:val="24"/>
        </w:rPr>
      </w:pPr>
      <w:r w:rsidRPr="00F0615F">
        <w:rPr>
          <w:rFonts w:asciiTheme="majorBidi" w:hAnsiTheme="majorBidi" w:cstheme="majorBidi"/>
          <w:bCs/>
          <w:sz w:val="24"/>
          <w:szCs w:val="24"/>
        </w:rPr>
        <w:t>Terrain objet du Titre Foncier n°784 (ASECNA) ;</w:t>
      </w:r>
    </w:p>
    <w:p w14:paraId="3E04EEC0" w14:textId="77777777" w:rsidR="00EC4B41" w:rsidRPr="00F0615F" w:rsidRDefault="00EC4B41" w:rsidP="001812A6">
      <w:pPr>
        <w:pStyle w:val="Paragraphedeliste"/>
        <w:numPr>
          <w:ilvl w:val="0"/>
          <w:numId w:val="58"/>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Portion du Titre Foncier n°18, </w:t>
      </w:r>
      <w:proofErr w:type="spellStart"/>
      <w:r w:rsidRPr="00F0615F">
        <w:rPr>
          <w:rFonts w:asciiTheme="majorBidi" w:hAnsiTheme="majorBidi" w:cstheme="majorBidi"/>
          <w:bCs/>
          <w:sz w:val="24"/>
          <w:szCs w:val="24"/>
        </w:rPr>
        <w:t>Gountou</w:t>
      </w:r>
      <w:proofErr w:type="spellEnd"/>
      <w:r w:rsidRPr="00F0615F">
        <w:rPr>
          <w:rFonts w:asciiTheme="majorBidi" w:hAnsiTheme="majorBidi" w:cstheme="majorBidi"/>
          <w:bCs/>
          <w:sz w:val="24"/>
          <w:szCs w:val="24"/>
        </w:rPr>
        <w:t xml:space="preserve"> </w:t>
      </w:r>
      <w:proofErr w:type="spellStart"/>
      <w:r w:rsidRPr="00F0615F">
        <w:rPr>
          <w:rFonts w:asciiTheme="majorBidi" w:hAnsiTheme="majorBidi" w:cstheme="majorBidi"/>
          <w:bCs/>
          <w:sz w:val="24"/>
          <w:szCs w:val="24"/>
        </w:rPr>
        <w:t>Yéna</w:t>
      </w:r>
      <w:proofErr w:type="spellEnd"/>
      <w:r w:rsidRPr="00F0615F">
        <w:rPr>
          <w:rFonts w:asciiTheme="majorBidi" w:hAnsiTheme="majorBidi" w:cstheme="majorBidi"/>
          <w:bCs/>
          <w:sz w:val="24"/>
          <w:szCs w:val="24"/>
        </w:rPr>
        <w:t xml:space="preserve"> ;</w:t>
      </w:r>
    </w:p>
    <w:p w14:paraId="5FC0A39D" w14:textId="298DBFD4" w:rsidR="003C6F98" w:rsidRPr="00F0615F" w:rsidRDefault="00EC4B41" w:rsidP="001812A6">
      <w:pPr>
        <w:pStyle w:val="Paragraphedeliste"/>
        <w:numPr>
          <w:ilvl w:val="0"/>
          <w:numId w:val="58"/>
        </w:numPr>
        <w:ind w:left="720"/>
        <w:jc w:val="both"/>
        <w:rPr>
          <w:rFonts w:asciiTheme="majorBidi" w:hAnsiTheme="majorBidi" w:cstheme="majorBidi"/>
          <w:bCs/>
          <w:sz w:val="24"/>
          <w:szCs w:val="24"/>
        </w:rPr>
      </w:pPr>
      <w:r w:rsidRPr="00F0615F">
        <w:rPr>
          <w:rFonts w:asciiTheme="majorBidi" w:hAnsiTheme="majorBidi" w:cstheme="majorBidi"/>
          <w:bCs/>
          <w:sz w:val="24"/>
          <w:szCs w:val="24"/>
        </w:rPr>
        <w:t>Terrain du centre commercial Ténéré, secteur Stade Général Seyni Kountché.</w:t>
      </w:r>
    </w:p>
    <w:p w14:paraId="3CA3FE59" w14:textId="77777777" w:rsidR="00EC4B41" w:rsidRPr="00F0615F" w:rsidRDefault="00EC4B41" w:rsidP="001812A6">
      <w:pPr>
        <w:jc w:val="both"/>
        <w:rPr>
          <w:rFonts w:asciiTheme="majorBidi" w:hAnsiTheme="majorBidi" w:cstheme="majorBidi"/>
          <w:bCs/>
          <w:sz w:val="24"/>
          <w:szCs w:val="24"/>
          <w:u w:val="single"/>
        </w:rPr>
      </w:pPr>
      <w:r w:rsidRPr="00F0615F">
        <w:rPr>
          <w:rFonts w:asciiTheme="majorBidi" w:hAnsiTheme="majorBidi" w:cstheme="majorBidi"/>
          <w:bCs/>
          <w:sz w:val="24"/>
          <w:szCs w:val="24"/>
          <w:u w:val="single"/>
        </w:rPr>
        <w:t>Travaux d’Ouverture des Emprises de Voies Publiques</w:t>
      </w:r>
    </w:p>
    <w:p w14:paraId="08413F09" w14:textId="77777777" w:rsidR="00EC4B41" w:rsidRPr="00F0615F" w:rsidRDefault="00EC4B41" w:rsidP="001812A6">
      <w:pPr>
        <w:pStyle w:val="Paragraphedeliste"/>
        <w:numPr>
          <w:ilvl w:val="0"/>
          <w:numId w:val="59"/>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Ouverture d'une section de l'emprise de la route de Say au niveau du rond-point de </w:t>
      </w:r>
      <w:proofErr w:type="spellStart"/>
      <w:r w:rsidRPr="00F0615F">
        <w:rPr>
          <w:rFonts w:asciiTheme="majorBidi" w:hAnsiTheme="majorBidi" w:cstheme="majorBidi"/>
          <w:bCs/>
          <w:sz w:val="24"/>
          <w:szCs w:val="24"/>
        </w:rPr>
        <w:t>Saguia</w:t>
      </w:r>
      <w:proofErr w:type="spellEnd"/>
      <w:r w:rsidRPr="00F0615F">
        <w:rPr>
          <w:rFonts w:asciiTheme="majorBidi" w:hAnsiTheme="majorBidi" w:cstheme="majorBidi"/>
          <w:bCs/>
          <w:sz w:val="24"/>
          <w:szCs w:val="24"/>
        </w:rPr>
        <w:t>.</w:t>
      </w:r>
    </w:p>
    <w:p w14:paraId="0950438F" w14:textId="77777777" w:rsidR="00EC4B41" w:rsidRPr="00F0615F" w:rsidRDefault="00EC4B41" w:rsidP="001812A6">
      <w:pPr>
        <w:pStyle w:val="Paragraphedeliste"/>
        <w:numPr>
          <w:ilvl w:val="0"/>
          <w:numId w:val="59"/>
        </w:numPr>
        <w:ind w:left="720"/>
        <w:jc w:val="both"/>
        <w:rPr>
          <w:rFonts w:asciiTheme="majorBidi" w:hAnsiTheme="majorBidi" w:cstheme="majorBidi"/>
          <w:bCs/>
          <w:sz w:val="24"/>
          <w:szCs w:val="24"/>
        </w:rPr>
      </w:pPr>
      <w:r w:rsidRPr="00F0615F">
        <w:rPr>
          <w:rFonts w:asciiTheme="majorBidi" w:hAnsiTheme="majorBidi" w:cstheme="majorBidi"/>
          <w:bCs/>
          <w:sz w:val="24"/>
          <w:szCs w:val="24"/>
        </w:rPr>
        <w:t xml:space="preserve">Libération d'une partie de l'emprise de la voie de 20 mètres, actuellement obstruée par le lotissement Al Oumma, dans le quartier Koira </w:t>
      </w:r>
      <w:proofErr w:type="spellStart"/>
      <w:r w:rsidRPr="00F0615F">
        <w:rPr>
          <w:rFonts w:asciiTheme="majorBidi" w:hAnsiTheme="majorBidi" w:cstheme="majorBidi"/>
          <w:bCs/>
          <w:sz w:val="24"/>
          <w:szCs w:val="24"/>
        </w:rPr>
        <w:t>Tagui</w:t>
      </w:r>
      <w:proofErr w:type="spellEnd"/>
      <w:r w:rsidRPr="00F0615F">
        <w:rPr>
          <w:rFonts w:asciiTheme="majorBidi" w:hAnsiTheme="majorBidi" w:cstheme="majorBidi"/>
          <w:bCs/>
          <w:sz w:val="24"/>
          <w:szCs w:val="24"/>
        </w:rPr>
        <w:t>.</w:t>
      </w:r>
    </w:p>
    <w:p w14:paraId="38F59000" w14:textId="77777777" w:rsidR="00EC4B41" w:rsidRPr="00F0615F" w:rsidRDefault="00EC4B41" w:rsidP="001812A6">
      <w:pPr>
        <w:pStyle w:val="Paragraphedeliste"/>
        <w:numPr>
          <w:ilvl w:val="0"/>
          <w:numId w:val="59"/>
        </w:numPr>
        <w:ind w:left="720"/>
        <w:jc w:val="both"/>
        <w:rPr>
          <w:rFonts w:asciiTheme="majorBidi" w:hAnsiTheme="majorBidi" w:cstheme="majorBidi"/>
          <w:bCs/>
          <w:sz w:val="24"/>
          <w:szCs w:val="24"/>
        </w:rPr>
      </w:pPr>
      <w:r w:rsidRPr="00F0615F">
        <w:rPr>
          <w:rFonts w:asciiTheme="majorBidi" w:hAnsiTheme="majorBidi" w:cstheme="majorBidi"/>
          <w:bCs/>
          <w:sz w:val="24"/>
          <w:szCs w:val="24"/>
        </w:rPr>
        <w:lastRenderedPageBreak/>
        <w:t xml:space="preserve">Dégagement d'une portion de voie publique de 50 mètres reliant la route Say à la route </w:t>
      </w:r>
      <w:proofErr w:type="spellStart"/>
      <w:r w:rsidRPr="00F0615F">
        <w:rPr>
          <w:rFonts w:asciiTheme="majorBidi" w:hAnsiTheme="majorBidi" w:cstheme="majorBidi"/>
          <w:bCs/>
          <w:sz w:val="24"/>
          <w:szCs w:val="24"/>
        </w:rPr>
        <w:t>Torodi</w:t>
      </w:r>
      <w:proofErr w:type="spellEnd"/>
      <w:r w:rsidRPr="00F0615F">
        <w:rPr>
          <w:rFonts w:asciiTheme="majorBidi" w:hAnsiTheme="majorBidi" w:cstheme="majorBidi"/>
          <w:bCs/>
          <w:sz w:val="24"/>
          <w:szCs w:val="24"/>
        </w:rPr>
        <w:t>, précédemment transformée en parcelle privée.</w:t>
      </w:r>
    </w:p>
    <w:p w14:paraId="42BCBB5C" w14:textId="77777777" w:rsidR="00EC4B41" w:rsidRPr="00F0615F" w:rsidRDefault="00EC4B41" w:rsidP="001812A6">
      <w:pPr>
        <w:pStyle w:val="Paragraphedeliste"/>
        <w:numPr>
          <w:ilvl w:val="0"/>
          <w:numId w:val="59"/>
        </w:numPr>
        <w:ind w:left="720"/>
        <w:jc w:val="both"/>
        <w:rPr>
          <w:rFonts w:asciiTheme="majorBidi" w:hAnsiTheme="majorBidi" w:cstheme="majorBidi"/>
          <w:bCs/>
          <w:sz w:val="24"/>
          <w:szCs w:val="24"/>
        </w:rPr>
      </w:pPr>
      <w:r w:rsidRPr="00F0615F">
        <w:rPr>
          <w:rFonts w:asciiTheme="majorBidi" w:hAnsiTheme="majorBidi" w:cstheme="majorBidi"/>
          <w:bCs/>
          <w:sz w:val="24"/>
          <w:szCs w:val="24"/>
        </w:rPr>
        <w:t>Ouverture du prolongement d'une bretelle de 3 km en direction du site des réfugiés, occupé par des habitations spontanées à SENO.</w:t>
      </w:r>
    </w:p>
    <w:p w14:paraId="495015DD" w14:textId="77777777" w:rsidR="00EC4B41" w:rsidRPr="00F0615F" w:rsidRDefault="00EC4B41" w:rsidP="001812A6">
      <w:pPr>
        <w:pStyle w:val="Paragraphedeliste"/>
        <w:numPr>
          <w:ilvl w:val="0"/>
          <w:numId w:val="59"/>
        </w:numPr>
        <w:ind w:left="720"/>
        <w:jc w:val="both"/>
        <w:rPr>
          <w:rFonts w:asciiTheme="majorBidi" w:hAnsiTheme="majorBidi" w:cstheme="majorBidi"/>
          <w:bCs/>
          <w:sz w:val="24"/>
          <w:szCs w:val="24"/>
        </w:rPr>
      </w:pPr>
      <w:r w:rsidRPr="00F0615F">
        <w:rPr>
          <w:rFonts w:asciiTheme="majorBidi" w:hAnsiTheme="majorBidi" w:cstheme="majorBidi"/>
          <w:bCs/>
          <w:sz w:val="24"/>
          <w:szCs w:val="24"/>
        </w:rPr>
        <w:t>Libération d'une section de l'emprise de la voie de 20 mètres, entravée par un lotissement irrégulier à SAGUIA.</w:t>
      </w:r>
    </w:p>
    <w:p w14:paraId="0B4F02E9" w14:textId="77777777" w:rsidR="00EC4B41" w:rsidRPr="00F0615F" w:rsidRDefault="00EC4B41" w:rsidP="001812A6">
      <w:pPr>
        <w:jc w:val="both"/>
        <w:rPr>
          <w:rFonts w:asciiTheme="majorBidi" w:hAnsiTheme="majorBidi" w:cstheme="majorBidi"/>
          <w:bCs/>
          <w:sz w:val="24"/>
          <w:szCs w:val="24"/>
          <w:u w:val="single"/>
        </w:rPr>
      </w:pPr>
      <w:r w:rsidRPr="00F0615F">
        <w:rPr>
          <w:rFonts w:asciiTheme="majorBidi" w:hAnsiTheme="majorBidi" w:cstheme="majorBidi"/>
          <w:bCs/>
          <w:sz w:val="24"/>
          <w:szCs w:val="24"/>
          <w:u w:val="single"/>
        </w:rPr>
        <w:t>Autres</w:t>
      </w:r>
    </w:p>
    <w:p w14:paraId="3927C067" w14:textId="77777777" w:rsidR="00EC4B41" w:rsidRPr="00F0615F" w:rsidRDefault="00EC4B41" w:rsidP="001812A6">
      <w:pPr>
        <w:pStyle w:val="Paragraphedeliste"/>
        <w:numPr>
          <w:ilvl w:val="0"/>
          <w:numId w:val="60"/>
        </w:numPr>
        <w:ind w:left="720"/>
        <w:jc w:val="both"/>
        <w:rPr>
          <w:rFonts w:asciiTheme="majorBidi" w:hAnsiTheme="majorBidi" w:cstheme="majorBidi"/>
          <w:bCs/>
          <w:sz w:val="24"/>
          <w:szCs w:val="24"/>
        </w:rPr>
      </w:pPr>
      <w:r w:rsidRPr="00F0615F">
        <w:rPr>
          <w:rFonts w:asciiTheme="majorBidi" w:hAnsiTheme="majorBidi" w:cstheme="majorBidi"/>
          <w:bCs/>
          <w:sz w:val="24"/>
          <w:szCs w:val="24"/>
        </w:rPr>
        <w:t>Nombre d’arrêtés d’affectation de terrain émis : 88.</w:t>
      </w:r>
    </w:p>
    <w:p w14:paraId="088A9E52" w14:textId="77777777" w:rsidR="00EC4B41" w:rsidRPr="00F0615F" w:rsidRDefault="00EC4B41" w:rsidP="001812A6">
      <w:pPr>
        <w:pStyle w:val="Paragraphedeliste"/>
        <w:numPr>
          <w:ilvl w:val="0"/>
          <w:numId w:val="60"/>
        </w:numPr>
        <w:ind w:left="720"/>
        <w:jc w:val="both"/>
        <w:rPr>
          <w:rFonts w:asciiTheme="majorBidi" w:hAnsiTheme="majorBidi" w:cstheme="majorBidi"/>
          <w:bCs/>
          <w:sz w:val="24"/>
          <w:szCs w:val="24"/>
        </w:rPr>
      </w:pPr>
      <w:r w:rsidRPr="00F0615F">
        <w:rPr>
          <w:rFonts w:asciiTheme="majorBidi" w:hAnsiTheme="majorBidi" w:cstheme="majorBidi"/>
          <w:bCs/>
          <w:sz w:val="24"/>
          <w:szCs w:val="24"/>
        </w:rPr>
        <w:t>Nombre d’arrêtés d’affectation annulés : 23.</w:t>
      </w:r>
    </w:p>
    <w:p w14:paraId="207FB95B" w14:textId="77777777" w:rsidR="00EC4B41" w:rsidRPr="00F0615F" w:rsidRDefault="00EC4B41" w:rsidP="001812A6">
      <w:pPr>
        <w:pStyle w:val="Paragraphedeliste"/>
        <w:numPr>
          <w:ilvl w:val="0"/>
          <w:numId w:val="60"/>
        </w:numPr>
        <w:ind w:left="720"/>
        <w:jc w:val="both"/>
        <w:rPr>
          <w:rFonts w:asciiTheme="majorBidi" w:hAnsiTheme="majorBidi" w:cstheme="majorBidi"/>
          <w:bCs/>
          <w:sz w:val="24"/>
          <w:szCs w:val="24"/>
        </w:rPr>
      </w:pPr>
      <w:r w:rsidRPr="00F0615F">
        <w:rPr>
          <w:rFonts w:asciiTheme="majorBidi" w:hAnsiTheme="majorBidi" w:cstheme="majorBidi"/>
          <w:bCs/>
          <w:sz w:val="24"/>
          <w:szCs w:val="24"/>
        </w:rPr>
        <w:t>Nombre de concessions définitives octroyées : 15.</w:t>
      </w:r>
    </w:p>
    <w:p w14:paraId="4849BBC9" w14:textId="77777777" w:rsidR="00EC4B41" w:rsidRPr="00F0615F" w:rsidRDefault="00EC4B41" w:rsidP="001812A6">
      <w:pPr>
        <w:jc w:val="both"/>
        <w:rPr>
          <w:rFonts w:asciiTheme="majorBidi" w:hAnsiTheme="majorBidi" w:cstheme="majorBidi"/>
          <w:bCs/>
          <w:sz w:val="24"/>
          <w:szCs w:val="24"/>
          <w:u w:val="single"/>
        </w:rPr>
      </w:pPr>
      <w:r w:rsidRPr="00F0615F">
        <w:rPr>
          <w:rFonts w:asciiTheme="majorBidi" w:hAnsiTheme="majorBidi" w:cstheme="majorBidi"/>
          <w:bCs/>
          <w:sz w:val="24"/>
          <w:szCs w:val="24"/>
          <w:u w:val="single"/>
        </w:rPr>
        <w:t>Perspectives</w:t>
      </w:r>
    </w:p>
    <w:p w14:paraId="3EADADA4" w14:textId="77777777" w:rsidR="00EC4B41" w:rsidRPr="00F0615F" w:rsidRDefault="00EC4B41" w:rsidP="001812A6">
      <w:pPr>
        <w:pStyle w:val="Paragraphedeliste"/>
        <w:numPr>
          <w:ilvl w:val="0"/>
          <w:numId w:val="61"/>
        </w:numPr>
        <w:ind w:left="720"/>
        <w:jc w:val="both"/>
        <w:rPr>
          <w:rFonts w:asciiTheme="majorBidi" w:hAnsiTheme="majorBidi" w:cstheme="majorBidi"/>
          <w:bCs/>
          <w:sz w:val="24"/>
          <w:szCs w:val="24"/>
        </w:rPr>
      </w:pPr>
      <w:r w:rsidRPr="00F0615F">
        <w:rPr>
          <w:rFonts w:asciiTheme="majorBidi" w:hAnsiTheme="majorBidi" w:cstheme="majorBidi"/>
          <w:bCs/>
          <w:sz w:val="24"/>
          <w:szCs w:val="24"/>
        </w:rPr>
        <w:t>Mise en place d'une base de données géoréférencée des réserves foncières de l'État.</w:t>
      </w:r>
    </w:p>
    <w:p w14:paraId="370A0CA4" w14:textId="77777777" w:rsidR="00EC4B41" w:rsidRPr="00F0615F" w:rsidRDefault="00EC4B41" w:rsidP="001812A6">
      <w:pPr>
        <w:pStyle w:val="Paragraphedeliste"/>
        <w:numPr>
          <w:ilvl w:val="0"/>
          <w:numId w:val="61"/>
        </w:numPr>
        <w:ind w:left="720"/>
        <w:jc w:val="both"/>
        <w:rPr>
          <w:rFonts w:asciiTheme="majorBidi" w:hAnsiTheme="majorBidi" w:cstheme="majorBidi"/>
          <w:bCs/>
          <w:sz w:val="24"/>
          <w:szCs w:val="24"/>
        </w:rPr>
      </w:pPr>
      <w:r w:rsidRPr="00F0615F">
        <w:rPr>
          <w:rFonts w:asciiTheme="majorBidi" w:hAnsiTheme="majorBidi" w:cstheme="majorBidi"/>
          <w:bCs/>
          <w:sz w:val="24"/>
          <w:szCs w:val="24"/>
        </w:rPr>
        <w:t>Poursuite des opérations de récupération des réserves foncières occupées illégalement.</w:t>
      </w:r>
    </w:p>
    <w:p w14:paraId="408DFDAB" w14:textId="77777777" w:rsidR="00EC4B41" w:rsidRPr="00F0615F" w:rsidRDefault="00EC4B41" w:rsidP="001812A6">
      <w:pPr>
        <w:pStyle w:val="Paragraphedeliste"/>
        <w:numPr>
          <w:ilvl w:val="0"/>
          <w:numId w:val="61"/>
        </w:numPr>
        <w:ind w:left="720"/>
        <w:jc w:val="both"/>
        <w:rPr>
          <w:rFonts w:asciiTheme="majorBidi" w:hAnsiTheme="majorBidi" w:cstheme="majorBidi"/>
          <w:bCs/>
          <w:sz w:val="24"/>
          <w:szCs w:val="24"/>
        </w:rPr>
      </w:pPr>
      <w:r w:rsidRPr="00F0615F">
        <w:rPr>
          <w:rFonts w:asciiTheme="majorBidi" w:hAnsiTheme="majorBidi" w:cstheme="majorBidi"/>
          <w:bCs/>
          <w:sz w:val="24"/>
          <w:szCs w:val="24"/>
        </w:rPr>
        <w:t>Intensification des campagnes de sensibilisation visant à la protection du domaine public de l'État.</w:t>
      </w:r>
    </w:p>
    <w:p w14:paraId="752F40E3" w14:textId="77777777" w:rsidR="00EC4B41" w:rsidRPr="00F0615F" w:rsidRDefault="00EC4B41" w:rsidP="001812A6">
      <w:pPr>
        <w:pStyle w:val="Paragraphedeliste"/>
        <w:numPr>
          <w:ilvl w:val="0"/>
          <w:numId w:val="61"/>
        </w:numPr>
        <w:ind w:left="720"/>
        <w:jc w:val="both"/>
        <w:rPr>
          <w:rFonts w:asciiTheme="majorBidi" w:hAnsiTheme="majorBidi" w:cstheme="majorBidi"/>
          <w:bCs/>
          <w:sz w:val="24"/>
          <w:szCs w:val="24"/>
        </w:rPr>
      </w:pPr>
      <w:r w:rsidRPr="00F0615F">
        <w:rPr>
          <w:rFonts w:asciiTheme="majorBidi" w:hAnsiTheme="majorBidi" w:cstheme="majorBidi"/>
          <w:bCs/>
          <w:sz w:val="24"/>
          <w:szCs w:val="24"/>
        </w:rPr>
        <w:t>Immatriculation systématique des réserves foncières en partenariat avec la DADC.</w:t>
      </w:r>
    </w:p>
    <w:p w14:paraId="5C525EF8" w14:textId="765D5267" w:rsidR="00451C83" w:rsidRPr="00F0615F" w:rsidRDefault="00EC4B41" w:rsidP="001812A6">
      <w:pPr>
        <w:pStyle w:val="Paragraphedeliste"/>
        <w:numPr>
          <w:ilvl w:val="0"/>
          <w:numId w:val="61"/>
        </w:numPr>
        <w:ind w:left="720"/>
        <w:jc w:val="both"/>
        <w:rPr>
          <w:rFonts w:asciiTheme="majorBidi" w:hAnsiTheme="majorBidi" w:cstheme="majorBidi"/>
          <w:bCs/>
          <w:sz w:val="24"/>
          <w:szCs w:val="24"/>
        </w:rPr>
      </w:pPr>
      <w:r w:rsidRPr="00F0615F">
        <w:rPr>
          <w:rFonts w:asciiTheme="majorBidi" w:hAnsiTheme="majorBidi" w:cstheme="majorBidi"/>
          <w:bCs/>
          <w:sz w:val="24"/>
          <w:szCs w:val="24"/>
        </w:rPr>
        <w:t>Déploiement de la phase pilote et extension du projet E-cadastre.</w:t>
      </w:r>
    </w:p>
    <w:p w14:paraId="2A14AB4B" w14:textId="77777777" w:rsidR="00EC4B41" w:rsidRPr="00F0615F" w:rsidRDefault="00EC4B41" w:rsidP="001812A6">
      <w:pPr>
        <w:spacing w:line="360" w:lineRule="auto"/>
        <w:jc w:val="both"/>
        <w:rPr>
          <w:rFonts w:asciiTheme="majorBidi" w:eastAsiaTheme="minorEastAsia" w:hAnsiTheme="majorBidi" w:cstheme="majorBidi"/>
          <w:bCs/>
          <w:sz w:val="24"/>
          <w:szCs w:val="24"/>
        </w:rPr>
      </w:pPr>
      <w:r w:rsidRPr="00F0615F">
        <w:rPr>
          <w:rFonts w:asciiTheme="majorBidi" w:hAnsiTheme="majorBidi" w:cstheme="majorBidi"/>
          <w:bCs/>
          <w:sz w:val="24"/>
          <w:szCs w:val="24"/>
        </w:rPr>
        <w:t>Sur le plan de la construction des logements, plusieurs activités ont été menées par la SONUCI :</w:t>
      </w:r>
    </w:p>
    <w:p w14:paraId="75FC2779"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La finition de la construction des 50 villas de la cité 1 de Niamey, initiée en 2012. Sur ces 50 villas, 28 villas ont été terminées, réceptionnées définitivement et remises à leurs souscripteurs.</w:t>
      </w:r>
    </w:p>
    <w:p w14:paraId="658334E1"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La construction de 400 logements économiques dont 350 de type F4 et 50 de type F3 à Sorey - Niamey.</w:t>
      </w:r>
    </w:p>
    <w:p w14:paraId="7590998A"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La signature d'une convention pour la réalisation de 4 000 logements économiques avec le Groupe BANGA IMMOBILIER.</w:t>
      </w:r>
    </w:p>
    <w:p w14:paraId="475F425C"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La réception des dossiers d’études architecturales d’avant-projet sommaire (APS) pour la construction d’immeubles aux quartiers Château 1 et Terminus à Niamey.</w:t>
      </w:r>
    </w:p>
    <w:p w14:paraId="2C81ADBF"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La réception du rapport provisoire concernant les études d’impact environnemental des travaux de construction d’immeubles aux quartiers Château 1 et Terminus à Niamey.</w:t>
      </w:r>
    </w:p>
    <w:p w14:paraId="05F34890"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Le lancement du dossier d’étude pour l’obtention des avantages du code d’investissement en vue de la construction de 33 immeubles et 30 000 logements abordables et économiques.</w:t>
      </w:r>
    </w:p>
    <w:p w14:paraId="61337D6C" w14:textId="77777777" w:rsidR="00EC4B41" w:rsidRPr="00F0615F" w:rsidRDefault="00EC4B41" w:rsidP="001812A6">
      <w:pPr>
        <w:numPr>
          <w:ilvl w:val="0"/>
          <w:numId w:val="77"/>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La signature de plusieurs mémorandums d’entente pour la construction de 22 500 logements avec des partenaires nationaux et internationaux, notamment de l’AES et des entreprises burkinabés et maliennes.</w:t>
      </w:r>
    </w:p>
    <w:p w14:paraId="6084BC93" w14:textId="77777777" w:rsidR="00EC4B41" w:rsidRPr="00F0615F" w:rsidRDefault="00EC4B41" w:rsidP="001812A6">
      <w:pPr>
        <w:spacing w:line="360" w:lineRule="auto"/>
        <w:jc w:val="both"/>
        <w:rPr>
          <w:rFonts w:asciiTheme="majorBidi" w:eastAsiaTheme="minorEastAsia" w:hAnsiTheme="majorBidi" w:cstheme="majorBidi"/>
          <w:bCs/>
          <w:sz w:val="24"/>
          <w:szCs w:val="24"/>
        </w:rPr>
      </w:pPr>
      <w:r w:rsidRPr="00F0615F">
        <w:rPr>
          <w:rFonts w:asciiTheme="majorBidi" w:hAnsiTheme="majorBidi" w:cstheme="majorBidi"/>
          <w:bCs/>
          <w:sz w:val="24"/>
          <w:szCs w:val="24"/>
        </w:rPr>
        <w:t>Sur le plan de l’aménagement urbain, la SONUCI a réalisé de nombreuses actions :</w:t>
      </w:r>
    </w:p>
    <w:p w14:paraId="5F433F73" w14:textId="77777777" w:rsidR="00EC4B41" w:rsidRPr="00F0615F" w:rsidRDefault="00EC4B41" w:rsidP="001812A6">
      <w:pPr>
        <w:numPr>
          <w:ilvl w:val="0"/>
          <w:numId w:val="78"/>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Obtention de l’arrêté d’aménagement du lotissement SOREY-NIAMEY1 de 32 hectares.</w:t>
      </w:r>
    </w:p>
    <w:p w14:paraId="31E5F5C5" w14:textId="77777777" w:rsidR="00EC4B41" w:rsidRPr="00F0615F" w:rsidRDefault="00EC4B41" w:rsidP="001812A6">
      <w:pPr>
        <w:numPr>
          <w:ilvl w:val="0"/>
          <w:numId w:val="78"/>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 xml:space="preserve">Obtention de l’arrêté d’aménagement du lotissement SONUCI-MARADI1 dans la commune de </w:t>
      </w:r>
      <w:proofErr w:type="spellStart"/>
      <w:r w:rsidRPr="00F0615F">
        <w:rPr>
          <w:rFonts w:asciiTheme="majorBidi" w:eastAsia="Times New Roman" w:hAnsiTheme="majorBidi" w:cstheme="majorBidi"/>
          <w:bCs/>
          <w:sz w:val="24"/>
          <w:szCs w:val="24"/>
        </w:rPr>
        <w:t>Djirataoua</w:t>
      </w:r>
      <w:proofErr w:type="spellEnd"/>
      <w:r w:rsidRPr="00F0615F">
        <w:rPr>
          <w:rFonts w:asciiTheme="majorBidi" w:eastAsia="Times New Roman" w:hAnsiTheme="majorBidi" w:cstheme="majorBidi"/>
          <w:bCs/>
          <w:sz w:val="24"/>
          <w:szCs w:val="24"/>
        </w:rPr>
        <w:t xml:space="preserve"> de 160 hectares.</w:t>
      </w:r>
    </w:p>
    <w:p w14:paraId="5E125BFC" w14:textId="77777777" w:rsidR="00EC4B41" w:rsidRPr="00F0615F" w:rsidRDefault="00EC4B41" w:rsidP="001812A6">
      <w:pPr>
        <w:numPr>
          <w:ilvl w:val="0"/>
          <w:numId w:val="78"/>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lastRenderedPageBreak/>
        <w:t xml:space="preserve">Présentation de dossiers de lotissement en attente d’approbation auprès du </w:t>
      </w:r>
      <w:proofErr w:type="gramStart"/>
      <w:r w:rsidRPr="00F0615F">
        <w:rPr>
          <w:rFonts w:asciiTheme="majorBidi" w:eastAsia="Times New Roman" w:hAnsiTheme="majorBidi" w:cstheme="majorBidi"/>
          <w:bCs/>
          <w:sz w:val="24"/>
          <w:szCs w:val="24"/>
        </w:rPr>
        <w:t>Ministère de l'Urbanisme</w:t>
      </w:r>
      <w:proofErr w:type="gramEnd"/>
      <w:r w:rsidRPr="00F0615F">
        <w:rPr>
          <w:rFonts w:asciiTheme="majorBidi" w:eastAsia="Times New Roman" w:hAnsiTheme="majorBidi" w:cstheme="majorBidi"/>
          <w:bCs/>
          <w:sz w:val="24"/>
          <w:szCs w:val="24"/>
        </w:rPr>
        <w:t xml:space="preserve"> et de l'Habitat, notamment pour le lotissement route Tillabéry (254 ha), lotissement SONUCI-Route Say (200 ha), lotissement SONUCI-Tillabéry (8 ha) et lotissement SONUCI-Route </w:t>
      </w:r>
      <w:proofErr w:type="spellStart"/>
      <w:r w:rsidRPr="00F0615F">
        <w:rPr>
          <w:rFonts w:asciiTheme="majorBidi" w:eastAsia="Times New Roman" w:hAnsiTheme="majorBidi" w:cstheme="majorBidi"/>
          <w:bCs/>
          <w:sz w:val="24"/>
          <w:szCs w:val="24"/>
        </w:rPr>
        <w:t>Ouallam</w:t>
      </w:r>
      <w:proofErr w:type="spellEnd"/>
      <w:r w:rsidRPr="00F0615F">
        <w:rPr>
          <w:rFonts w:asciiTheme="majorBidi" w:eastAsia="Times New Roman" w:hAnsiTheme="majorBidi" w:cstheme="majorBidi"/>
          <w:bCs/>
          <w:sz w:val="24"/>
          <w:szCs w:val="24"/>
        </w:rPr>
        <w:t xml:space="preserve"> (300 ha).</w:t>
      </w:r>
    </w:p>
    <w:p w14:paraId="015FAF16" w14:textId="77777777" w:rsidR="00EC4B41" w:rsidRPr="00F0615F" w:rsidRDefault="00EC4B41" w:rsidP="001812A6">
      <w:pPr>
        <w:numPr>
          <w:ilvl w:val="0"/>
          <w:numId w:val="78"/>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Signature de conventions de lotissement avec des propriétaires terriens pour plus de 1 000 hectares, dont les dossiers techniques sont en cours d’élaboration auprès des cabinets de géomètres experts. D’autres terrains nus font également l’objet de discussions afin d’augmenter les stocks fonciers de la SONUCI pour la construction de logements.</w:t>
      </w:r>
    </w:p>
    <w:p w14:paraId="4ECC9EFB" w14:textId="77777777" w:rsidR="00EC4B41" w:rsidRPr="00F0615F" w:rsidRDefault="00EC4B41" w:rsidP="001812A6">
      <w:pPr>
        <w:numPr>
          <w:ilvl w:val="0"/>
          <w:numId w:val="78"/>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Signature de plusieurs protocoles et conventions de commercialisation et de mise à disposition de plus de 10 500 parcelles avec des lotisseurs privés, en vue de la construction de logements et de la vente de parcelles.</w:t>
      </w:r>
    </w:p>
    <w:p w14:paraId="1AFBE1AC" w14:textId="77777777" w:rsidR="00EC4B41" w:rsidRPr="00F0615F" w:rsidRDefault="00EC4B41" w:rsidP="001812A6">
      <w:pPr>
        <w:numPr>
          <w:ilvl w:val="0"/>
          <w:numId w:val="78"/>
        </w:numPr>
        <w:spacing w:line="256" w:lineRule="auto"/>
        <w:jc w:val="both"/>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Mise en place d’un vaste programme de sécurisation foncière visant à rassurer les clients : la SONUCI a initié la digitalisation et l’informatisation des données des différents lotissements pour la délivrance des actes de propriété aux clients.</w:t>
      </w:r>
    </w:p>
    <w:p w14:paraId="68EA7D3A" w14:textId="26E09D60" w:rsidR="00F72F4F" w:rsidRPr="00F0615F" w:rsidRDefault="00EC4B41" w:rsidP="001812A6">
      <w:pPr>
        <w:jc w:val="both"/>
        <w:rPr>
          <w:rFonts w:asciiTheme="majorBidi" w:hAnsiTheme="majorBidi" w:cstheme="majorBidi"/>
          <w:bCs/>
          <w:sz w:val="24"/>
          <w:szCs w:val="24"/>
          <w:lang w:eastAsia="fr-FR"/>
        </w:rPr>
      </w:pPr>
      <w:r w:rsidRPr="00F0615F">
        <w:rPr>
          <w:rFonts w:asciiTheme="majorBidi" w:hAnsiTheme="majorBidi" w:cstheme="majorBidi"/>
          <w:bCs/>
          <w:sz w:val="24"/>
          <w:szCs w:val="24"/>
        </w:rPr>
        <w:t xml:space="preserve">Dans le cadre des opérations de viabilisation, plusieurs interventions ont déjà été menées et d'autres sont </w:t>
      </w:r>
      <w:proofErr w:type="gramStart"/>
      <w:r w:rsidRPr="00F0615F">
        <w:rPr>
          <w:rFonts w:asciiTheme="majorBidi" w:hAnsiTheme="majorBidi" w:cstheme="majorBidi"/>
          <w:bCs/>
          <w:sz w:val="24"/>
          <w:szCs w:val="24"/>
        </w:rPr>
        <w:t>actuellement en cours</w:t>
      </w:r>
      <w:proofErr w:type="gramEnd"/>
      <w:r w:rsidRPr="00F0615F">
        <w:rPr>
          <w:rFonts w:asciiTheme="majorBidi" w:hAnsiTheme="majorBidi" w:cstheme="majorBidi"/>
          <w:bCs/>
          <w:sz w:val="24"/>
          <w:szCs w:val="24"/>
        </w:rPr>
        <w:t>.</w:t>
      </w:r>
    </w:p>
    <w:p w14:paraId="3A266FF9" w14:textId="77777777" w:rsidR="00EC4B41"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Travaux en cours sur le lotissement SONUCI-SOREY1 : caniveaux, électrification BT et adduction d’eau potable interne.</w:t>
      </w:r>
    </w:p>
    <w:p w14:paraId="5310AA23" w14:textId="77777777" w:rsidR="00EC4B41"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Études techniques lancées pour la route bitume entre la RN1 et la cité de la refondation (2 km).</w:t>
      </w:r>
    </w:p>
    <w:p w14:paraId="1FAECA4C" w14:textId="77777777" w:rsidR="00EC4B41"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Implantation du lotissement SONUCI-Maradi 1.</w:t>
      </w:r>
    </w:p>
    <w:p w14:paraId="0121FDB7" w14:textId="77777777" w:rsidR="00EC4B41"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Début des travaux de 5000 ml en matériaux latéritiques au SONUCI-MARADI1.</w:t>
      </w:r>
    </w:p>
    <w:p w14:paraId="33ED0783" w14:textId="77777777" w:rsidR="00EC4B41"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Lancement des études d’électrification et d’adduction d’eau pour SONUCI-ZINDER, SONUCI-MARADI et SONUCI-MANDELA–NIAMEY.</w:t>
      </w:r>
    </w:p>
    <w:p w14:paraId="1D899CA4" w14:textId="77777777" w:rsidR="00EC4B41"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Lancement de l’étude pour l’amenée d’eau avec la SPEN à SONUCI-SOREY1 (32 ha).</w:t>
      </w:r>
    </w:p>
    <w:p w14:paraId="667C4BFA" w14:textId="43C95333" w:rsidR="00F72F4F" w:rsidRPr="00F0615F" w:rsidRDefault="00EC4B41" w:rsidP="001812A6">
      <w:pPr>
        <w:pStyle w:val="Paragraphedeliste"/>
        <w:numPr>
          <w:ilvl w:val="0"/>
          <w:numId w:val="79"/>
        </w:numPr>
        <w:ind w:left="720"/>
        <w:jc w:val="both"/>
        <w:rPr>
          <w:rFonts w:asciiTheme="majorBidi" w:hAnsiTheme="majorBidi" w:cstheme="majorBidi"/>
          <w:bCs/>
          <w:sz w:val="24"/>
          <w:szCs w:val="24"/>
          <w:lang w:eastAsia="fr-FR"/>
        </w:rPr>
      </w:pPr>
      <w:r w:rsidRPr="00F0615F">
        <w:rPr>
          <w:rFonts w:asciiTheme="majorBidi" w:hAnsiTheme="majorBidi" w:cstheme="majorBidi"/>
          <w:bCs/>
          <w:sz w:val="24"/>
          <w:szCs w:val="24"/>
          <w:lang w:eastAsia="fr-FR"/>
        </w:rPr>
        <w:t>Études hydrogéologiques pour localiser deux forages profonds destinés à alimenter la cité de la réfondation1.</w:t>
      </w:r>
    </w:p>
    <w:p w14:paraId="40A3ADD0" w14:textId="77777777" w:rsidR="00A901A2" w:rsidRPr="00F0615F" w:rsidRDefault="00A901A2" w:rsidP="001812A6">
      <w:pPr>
        <w:pStyle w:val="Paragraphedeliste"/>
        <w:spacing w:after="0" w:line="360" w:lineRule="auto"/>
        <w:ind w:left="360" w:right="55"/>
        <w:jc w:val="both"/>
        <w:rPr>
          <w:rFonts w:asciiTheme="majorBidi" w:eastAsia="Times New Roman" w:hAnsiTheme="majorBidi" w:cstheme="majorBidi"/>
          <w:bCs/>
          <w:sz w:val="24"/>
          <w:szCs w:val="24"/>
          <w:lang w:eastAsia="fr-FR"/>
        </w:rPr>
      </w:pPr>
    </w:p>
    <w:p w14:paraId="4A24B3B9" w14:textId="77777777" w:rsidR="00F0615F" w:rsidRPr="00F0615F" w:rsidRDefault="00F0615F" w:rsidP="001812A6">
      <w:pPr>
        <w:jc w:val="both"/>
        <w:rPr>
          <w:rFonts w:asciiTheme="majorBidi" w:hAnsiTheme="majorBidi" w:cstheme="majorBidi"/>
          <w:bCs/>
          <w:sz w:val="24"/>
          <w:szCs w:val="24"/>
          <w:u w:val="single"/>
        </w:rPr>
      </w:pPr>
      <w:r w:rsidRPr="00F0615F">
        <w:rPr>
          <w:rFonts w:asciiTheme="majorBidi" w:hAnsiTheme="majorBidi" w:cstheme="majorBidi"/>
          <w:bCs/>
          <w:sz w:val="24"/>
          <w:szCs w:val="24"/>
          <w:u w:val="single"/>
        </w:rPr>
        <w:t>DANS LE CADRE LÉGISLATIF ET RÉGLEMENTAIRE :</w:t>
      </w:r>
    </w:p>
    <w:p w14:paraId="2303C505"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Plusieurs décrets ont été adoptés pour abroger les textes antérieurs relatifs au déclassement de terrains, à la déclaration d’utilité publique et à la cessibilité de propriétés dans le cadre de projets urbains et d’infrastructures à Niamey et dans la région de Tillabéry.</w:t>
      </w:r>
    </w:p>
    <w:p w14:paraId="1BE3B3E9"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La mise en œuvre d’actes réglementaires porte sur la tarification des loyers ainsi que sur l’extension des infrastructures publiques et militaires.</w:t>
      </w:r>
    </w:p>
    <w:p w14:paraId="07D9429B"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Des comités nationaux ont été créés et attribués, incluant celui du E-Cadastre.</w:t>
      </w:r>
    </w:p>
    <w:p w14:paraId="4DEC7C9B"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Un mémorandum a été signé entre le MUH, l’ANSI et le projet PVI.</w:t>
      </w:r>
    </w:p>
    <w:p w14:paraId="45DF832A" w14:textId="1BF98192" w:rsidR="00A901A2"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Des ateliers de vulgarisation sur l’urbanisme, la construction et l’habitation ont été organisés dans plusieurs régions.</w:t>
      </w:r>
    </w:p>
    <w:p w14:paraId="5B114BBA" w14:textId="77777777" w:rsidR="00F0615F" w:rsidRPr="00F0615F" w:rsidRDefault="00F0615F" w:rsidP="001812A6">
      <w:pPr>
        <w:jc w:val="both"/>
        <w:rPr>
          <w:rFonts w:asciiTheme="majorBidi" w:hAnsiTheme="majorBidi" w:cstheme="majorBidi"/>
          <w:bCs/>
          <w:i/>
          <w:sz w:val="24"/>
          <w:szCs w:val="24"/>
        </w:rPr>
      </w:pPr>
      <w:r w:rsidRPr="00F0615F">
        <w:rPr>
          <w:rFonts w:asciiTheme="majorBidi" w:hAnsiTheme="majorBidi" w:cstheme="majorBidi"/>
          <w:bCs/>
          <w:i/>
          <w:sz w:val="24"/>
          <w:szCs w:val="24"/>
        </w:rPr>
        <w:t>⁠Promouvoir des modèles de constructions qui valorisent les matériaux locaux et adaptés aux conditions climatiques ;</w:t>
      </w:r>
    </w:p>
    <w:p w14:paraId="50A89A00"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lastRenderedPageBreak/>
        <w:t>PNDU</w:t>
      </w:r>
    </w:p>
    <w:p w14:paraId="4C717327"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Afin d’accroître l’intérêt des différents acteurs pour les constructions utilisant des matériaux locaux, plusieurs mesures sont envisagées :</w:t>
      </w:r>
    </w:p>
    <w:p w14:paraId="7040F779" w14:textId="77777777" w:rsidR="00F0615F" w:rsidRPr="00F0615F" w:rsidRDefault="00F0615F" w:rsidP="001812A6">
      <w:pPr>
        <w:pStyle w:val="Paragraphedeliste"/>
        <w:numPr>
          <w:ilvl w:val="0"/>
          <w:numId w:val="81"/>
        </w:numPr>
        <w:ind w:left="840"/>
        <w:jc w:val="both"/>
        <w:rPr>
          <w:rFonts w:asciiTheme="majorBidi" w:hAnsiTheme="majorBidi" w:cstheme="majorBidi"/>
          <w:bCs/>
          <w:sz w:val="24"/>
          <w:szCs w:val="24"/>
        </w:rPr>
      </w:pPr>
      <w:r w:rsidRPr="00F0615F">
        <w:rPr>
          <w:rFonts w:asciiTheme="majorBidi" w:hAnsiTheme="majorBidi" w:cstheme="majorBidi"/>
          <w:bCs/>
          <w:sz w:val="24"/>
          <w:szCs w:val="24"/>
        </w:rPr>
        <w:t>Sensibilisation et formation des artisans sur l’usage de ces matériaux ;</w:t>
      </w:r>
    </w:p>
    <w:p w14:paraId="07E7DF23" w14:textId="77777777" w:rsidR="00F0615F" w:rsidRPr="00F0615F" w:rsidRDefault="00F0615F" w:rsidP="001812A6">
      <w:pPr>
        <w:pStyle w:val="Paragraphedeliste"/>
        <w:numPr>
          <w:ilvl w:val="0"/>
          <w:numId w:val="81"/>
        </w:numPr>
        <w:ind w:left="840"/>
        <w:jc w:val="both"/>
        <w:rPr>
          <w:rFonts w:asciiTheme="majorBidi" w:hAnsiTheme="majorBidi" w:cstheme="majorBidi"/>
          <w:bCs/>
          <w:sz w:val="24"/>
          <w:szCs w:val="24"/>
        </w:rPr>
      </w:pPr>
      <w:r w:rsidRPr="00F0615F">
        <w:rPr>
          <w:rFonts w:asciiTheme="majorBidi" w:hAnsiTheme="majorBidi" w:cstheme="majorBidi"/>
          <w:bCs/>
          <w:sz w:val="24"/>
          <w:szCs w:val="24"/>
        </w:rPr>
        <w:t>Incitations fiscales destinées à encourager les promoteurs immobiliers à adopter ces solutions ;</w:t>
      </w:r>
    </w:p>
    <w:p w14:paraId="032387CB" w14:textId="77777777" w:rsidR="00F0615F" w:rsidRPr="00F0615F" w:rsidRDefault="00F0615F" w:rsidP="001812A6">
      <w:pPr>
        <w:pStyle w:val="Paragraphedeliste"/>
        <w:numPr>
          <w:ilvl w:val="0"/>
          <w:numId w:val="81"/>
        </w:numPr>
        <w:ind w:left="840"/>
        <w:jc w:val="both"/>
        <w:rPr>
          <w:rFonts w:asciiTheme="majorBidi" w:hAnsiTheme="majorBidi" w:cstheme="majorBidi"/>
          <w:bCs/>
          <w:sz w:val="24"/>
          <w:szCs w:val="24"/>
        </w:rPr>
      </w:pPr>
      <w:r w:rsidRPr="00F0615F">
        <w:rPr>
          <w:rFonts w:asciiTheme="majorBidi" w:hAnsiTheme="majorBidi" w:cstheme="majorBidi"/>
          <w:bCs/>
          <w:sz w:val="24"/>
          <w:szCs w:val="24"/>
        </w:rPr>
        <w:t>Intégration de l’utilisation de matériaux locaux dans les cahiers des charges de certains projets immobiliers.</w:t>
      </w:r>
    </w:p>
    <w:p w14:paraId="6015DBAF"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 xml:space="preserve">En outre, la loi 98-54 du 29 décembre 1998 relative à l’adoption de la Politique Nationale en matière d’Habitat prévoit </w:t>
      </w:r>
      <w:r w:rsidRPr="00F0615F">
        <w:rPr>
          <w:rFonts w:asciiTheme="majorBidi" w:hAnsiTheme="majorBidi" w:cstheme="majorBidi"/>
          <w:bCs/>
          <w:i/>
          <w:sz w:val="24"/>
          <w:szCs w:val="24"/>
        </w:rPr>
        <w:t>la création d’un centre de recherche et de promotion des techniques et matériaux de construction</w:t>
      </w:r>
      <w:r w:rsidRPr="00F0615F">
        <w:rPr>
          <w:rFonts w:asciiTheme="majorBidi" w:hAnsiTheme="majorBidi" w:cstheme="majorBidi"/>
          <w:bCs/>
          <w:sz w:val="24"/>
          <w:szCs w:val="24"/>
        </w:rPr>
        <w:t>. Des démarches sont en cours pour établir ce centre, en collaboration avec l’ensemble des parties prenantes. Dans ce contexte, le département a parrainé en 2025 la première édition du Forum Africain des Acteurs de la Construction en Terres (FACT Sahel) au Niger et prévoit l’organisation de la deuxième édition en 2026. Cet événement offre un espace dédié aux échanges entre professionnels du secteur.</w:t>
      </w:r>
    </w:p>
    <w:p w14:paraId="6B4E7649"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Le projet de construction d’une phase de 100 logements en matériaux locaux (Briques de Terres Stabilisées - BTC) est actuellement en expérimentation, avec 60 unités réalisées en partenariat avec plusieurs acteurs.</w:t>
      </w:r>
    </w:p>
    <w:p w14:paraId="24126FF6" w14:textId="77777777" w:rsidR="00F0615F" w:rsidRPr="00F0615F" w:rsidRDefault="00F0615F" w:rsidP="001812A6">
      <w:pPr>
        <w:jc w:val="both"/>
        <w:rPr>
          <w:rFonts w:asciiTheme="majorBidi" w:hAnsiTheme="majorBidi" w:cstheme="majorBidi"/>
          <w:bCs/>
          <w:i/>
          <w:sz w:val="24"/>
          <w:szCs w:val="24"/>
        </w:rPr>
      </w:pPr>
      <w:r w:rsidRPr="00F0615F">
        <w:rPr>
          <w:rFonts w:asciiTheme="majorBidi" w:hAnsiTheme="majorBidi" w:cstheme="majorBidi"/>
          <w:bCs/>
          <w:i/>
          <w:sz w:val="24"/>
          <w:szCs w:val="24"/>
        </w:rPr>
        <w:t>3.⁠ ⁠Accélérer la modernisation du cadastre et l'amélioration de la couverture cartographique du territoire ;</w:t>
      </w:r>
    </w:p>
    <w:p w14:paraId="4A56C4E5"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 xml:space="preserve">Des mémorandums ont été signés dans le cadre de la modernisation du cadastre et de la gestion foncière. Le projet principal ayant progressé de manière significative est le Projet E-Cadastre, mené en partenariat avec l’ANSI et financé par le Projet Village Intelligent (PVI) de la Banque Mondiale. La première phase, prévue en 2026, concerne le projet des 15 000 parcelles clôturées et viabilisées de </w:t>
      </w:r>
      <w:proofErr w:type="spellStart"/>
      <w:r w:rsidRPr="00F0615F">
        <w:rPr>
          <w:rFonts w:asciiTheme="majorBidi" w:hAnsiTheme="majorBidi" w:cstheme="majorBidi"/>
          <w:bCs/>
          <w:sz w:val="24"/>
          <w:szCs w:val="24"/>
        </w:rPr>
        <w:t>Bangoula</w:t>
      </w:r>
      <w:proofErr w:type="spellEnd"/>
      <w:r w:rsidRPr="00F0615F">
        <w:rPr>
          <w:rFonts w:asciiTheme="majorBidi" w:hAnsiTheme="majorBidi" w:cstheme="majorBidi"/>
          <w:bCs/>
          <w:sz w:val="24"/>
          <w:szCs w:val="24"/>
        </w:rPr>
        <w:t>, suivi d’une généralisation à l’ensemble du pays. L’arrêté n°227/MUH/SG du 26 novembre 2025 portant création, attribution, composition et fonctionnement du Comité National de Pilotage de E-Cadastre (CONPEC) a été adopté.</w:t>
      </w:r>
    </w:p>
    <w:p w14:paraId="0CAA4C5F" w14:textId="77777777" w:rsidR="00F0615F" w:rsidRPr="00F0615F" w:rsidRDefault="00F0615F" w:rsidP="001812A6">
      <w:pPr>
        <w:jc w:val="both"/>
        <w:rPr>
          <w:rFonts w:asciiTheme="majorBidi" w:hAnsiTheme="majorBidi" w:cstheme="majorBidi"/>
          <w:bCs/>
          <w:sz w:val="24"/>
          <w:szCs w:val="24"/>
        </w:rPr>
      </w:pPr>
      <w:r w:rsidRPr="00F0615F">
        <w:rPr>
          <w:rFonts w:asciiTheme="majorBidi" w:hAnsiTheme="majorBidi" w:cstheme="majorBidi"/>
          <w:bCs/>
          <w:sz w:val="24"/>
          <w:szCs w:val="24"/>
        </w:rPr>
        <w:t>Dans le cadre des missions de l’Institut Géographique National du Niger (IGN.N), les actions suivantes ont été exécutées ou sont en cours :</w:t>
      </w:r>
    </w:p>
    <w:p w14:paraId="73DCC6A4"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Élaboration d’une Politique Nationale de l’Information Géospatiale alignée sur celle des pays membres de l’AES (en cours) ;</w:t>
      </w:r>
    </w:p>
    <w:p w14:paraId="3BB46785"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Signature d’un mémorandum d’entente avec l’Agence Spatiale Algérienne ;</w:t>
      </w:r>
    </w:p>
    <w:p w14:paraId="0500D3A9"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Poursuite de l’audit des lotissements de la Ville de Niamey : production du premier volume d’un rapport partiel (taux de réalisation : 15%) ;</w:t>
      </w:r>
    </w:p>
    <w:p w14:paraId="2288B515"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Poursuite des prestations sur les nouveaux pôles urbains du MUH (réalisation des levés topographiques pour les sites de KAHE et Bougoum ; finalisation des levés topographiques du site de Zinder ; travaux d’implantation du parcellaire pour les sites de Bougoum et Zinder) ;</w:t>
      </w:r>
    </w:p>
    <w:p w14:paraId="02FE9BBD"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Mise à jour continue du plan de ville de Niamey ;</w:t>
      </w:r>
    </w:p>
    <w:p w14:paraId="6EDF7076"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Numérisation de onze (11) cartes au 1/50 000 ;</w:t>
      </w:r>
    </w:p>
    <w:p w14:paraId="74026B7A" w14:textId="77777777" w:rsidR="00F0615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Création de soixante-huit (68) cartes au 1/50 000 ;</w:t>
      </w:r>
    </w:p>
    <w:p w14:paraId="1466DD80" w14:textId="154E32E0" w:rsidR="00F72F4F" w:rsidRPr="00F0615F" w:rsidRDefault="00F0615F" w:rsidP="001812A6">
      <w:pPr>
        <w:pStyle w:val="Paragraphedeliste"/>
        <w:numPr>
          <w:ilvl w:val="0"/>
          <w:numId w:val="82"/>
        </w:numPr>
        <w:ind w:left="840"/>
        <w:jc w:val="both"/>
        <w:rPr>
          <w:rFonts w:asciiTheme="majorBidi" w:hAnsiTheme="majorBidi" w:cstheme="majorBidi"/>
          <w:bCs/>
          <w:sz w:val="24"/>
          <w:szCs w:val="24"/>
        </w:rPr>
      </w:pPr>
      <w:r w:rsidRPr="00F0615F">
        <w:rPr>
          <w:rFonts w:asciiTheme="majorBidi" w:hAnsiTheme="majorBidi" w:cstheme="majorBidi"/>
          <w:bCs/>
          <w:sz w:val="24"/>
          <w:szCs w:val="24"/>
        </w:rPr>
        <w:t>Création de vingt-trois (23) cartes au 1/100 000.</w:t>
      </w:r>
    </w:p>
    <w:p w14:paraId="44C43E1A" w14:textId="77777777" w:rsidR="0074649F" w:rsidRPr="00F0615F" w:rsidRDefault="0074649F" w:rsidP="001812A6">
      <w:pPr>
        <w:jc w:val="both"/>
        <w:rPr>
          <w:rFonts w:asciiTheme="majorBidi" w:hAnsiTheme="majorBidi" w:cstheme="majorBidi"/>
          <w:bCs/>
          <w:i/>
          <w:iCs/>
          <w:sz w:val="24"/>
          <w:szCs w:val="24"/>
        </w:rPr>
      </w:pPr>
    </w:p>
    <w:p w14:paraId="7F2CC9AD" w14:textId="77777777" w:rsidR="00B96C1B" w:rsidRPr="00F0615F" w:rsidRDefault="0074649F" w:rsidP="001812A6">
      <w:pPr>
        <w:spacing w:after="0" w:line="276" w:lineRule="auto"/>
        <w:contextualSpacing/>
        <w:jc w:val="both"/>
        <w:rPr>
          <w:rFonts w:asciiTheme="majorBidi" w:hAnsiTheme="majorBidi" w:cstheme="majorBidi"/>
          <w:bCs/>
          <w:sz w:val="24"/>
          <w:szCs w:val="24"/>
        </w:rPr>
      </w:pPr>
      <w:r w:rsidRPr="00F0615F">
        <w:rPr>
          <w:rFonts w:asciiTheme="majorBidi" w:hAnsiTheme="majorBidi" w:cstheme="majorBidi"/>
          <w:bCs/>
          <w:i/>
          <w:iCs/>
          <w:sz w:val="24"/>
          <w:szCs w:val="24"/>
        </w:rPr>
        <w:t>4.⁠ ⁠Mettre en place un cadre approprié de mesure des résultats et d'appréciation de la performance des actions du Ministère</w:t>
      </w:r>
      <w:r w:rsidR="00B96C1B" w:rsidRPr="00F0615F">
        <w:rPr>
          <w:rFonts w:asciiTheme="majorBidi" w:hAnsiTheme="majorBidi" w:cstheme="majorBidi"/>
          <w:bCs/>
          <w:sz w:val="24"/>
          <w:szCs w:val="24"/>
        </w:rPr>
        <w:t xml:space="preserve"> </w:t>
      </w:r>
    </w:p>
    <w:p w14:paraId="2062D4E2" w14:textId="77777777" w:rsidR="00B96C1B" w:rsidRPr="00F0615F" w:rsidRDefault="00B96C1B" w:rsidP="001812A6">
      <w:pPr>
        <w:spacing w:after="0" w:line="276" w:lineRule="auto"/>
        <w:contextualSpacing/>
        <w:jc w:val="both"/>
        <w:rPr>
          <w:rFonts w:asciiTheme="majorBidi" w:hAnsiTheme="majorBidi" w:cstheme="majorBidi"/>
          <w:bCs/>
          <w:sz w:val="24"/>
          <w:szCs w:val="24"/>
        </w:rPr>
      </w:pPr>
    </w:p>
    <w:p w14:paraId="21263291" w14:textId="62A09451" w:rsidR="00B96C1B" w:rsidRPr="00F0615F" w:rsidRDefault="00B96C1B" w:rsidP="001812A6">
      <w:pPr>
        <w:spacing w:after="0" w:line="276" w:lineRule="auto"/>
        <w:contextualSpacing/>
        <w:jc w:val="both"/>
        <w:rPr>
          <w:rFonts w:asciiTheme="majorBidi" w:hAnsiTheme="majorBidi" w:cstheme="majorBidi"/>
          <w:bCs/>
          <w:noProof/>
          <w:sz w:val="24"/>
          <w:szCs w:val="24"/>
        </w:rPr>
      </w:pPr>
      <w:r w:rsidRPr="00F0615F">
        <w:rPr>
          <w:rFonts w:asciiTheme="majorBidi" w:hAnsiTheme="majorBidi" w:cstheme="majorBidi"/>
          <w:bCs/>
          <w:sz w:val="24"/>
          <w:szCs w:val="24"/>
        </w:rPr>
        <w:t xml:space="preserve"> </w:t>
      </w:r>
      <w:r w:rsidRPr="00F0615F">
        <w:rPr>
          <w:rFonts w:asciiTheme="majorBidi" w:hAnsiTheme="majorBidi" w:cstheme="majorBidi"/>
          <w:bCs/>
          <w:noProof/>
          <w:sz w:val="24"/>
          <w:szCs w:val="24"/>
        </w:rPr>
        <w:drawing>
          <wp:anchor distT="0" distB="0" distL="114300" distR="114300" simplePos="0" relativeHeight="251668480" behindDoc="0" locked="0" layoutInCell="1" allowOverlap="0" wp14:anchorId="32B3898A" wp14:editId="2CB054C4">
            <wp:simplePos x="0" y="0"/>
            <wp:positionH relativeFrom="page">
              <wp:posOffset>377977</wp:posOffset>
            </wp:positionH>
            <wp:positionV relativeFrom="page">
              <wp:posOffset>10223964</wp:posOffset>
            </wp:positionV>
            <wp:extent cx="1188800" cy="310925"/>
            <wp:effectExtent l="0" t="0" r="0" b="0"/>
            <wp:wrapSquare wrapText="bothSides"/>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10"/>
                    <a:stretch>
                      <a:fillRect/>
                    </a:stretch>
                  </pic:blipFill>
                  <pic:spPr>
                    <a:xfrm>
                      <a:off x="0" y="0"/>
                      <a:ext cx="1188800" cy="310925"/>
                    </a:xfrm>
                    <a:prstGeom prst="rect">
                      <a:avLst/>
                    </a:prstGeom>
                  </pic:spPr>
                </pic:pic>
              </a:graphicData>
            </a:graphic>
          </wp:anchor>
        </w:drawing>
      </w:r>
      <w:r w:rsidRPr="00F0615F">
        <w:rPr>
          <w:rFonts w:asciiTheme="majorBidi" w:hAnsiTheme="majorBidi" w:cstheme="majorBidi"/>
          <w:bCs/>
          <w:noProof/>
          <w:sz w:val="24"/>
          <w:szCs w:val="24"/>
        </w:rPr>
        <w:drawing>
          <wp:anchor distT="0" distB="0" distL="114300" distR="114300" simplePos="0" relativeHeight="251669504" behindDoc="0" locked="0" layoutInCell="1" allowOverlap="0" wp14:anchorId="03B0B0AF" wp14:editId="2C76D602">
            <wp:simplePos x="0" y="0"/>
            <wp:positionH relativeFrom="page">
              <wp:posOffset>192037</wp:posOffset>
            </wp:positionH>
            <wp:positionV relativeFrom="page">
              <wp:posOffset>3596982</wp:posOffset>
            </wp:positionV>
            <wp:extent cx="9145" cy="15242"/>
            <wp:effectExtent l="0" t="0" r="0" b="0"/>
            <wp:wrapSquare wrapText="bothSides"/>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11"/>
                    <a:stretch>
                      <a:fillRect/>
                    </a:stretch>
                  </pic:blipFill>
                  <pic:spPr>
                    <a:xfrm>
                      <a:off x="0" y="0"/>
                      <a:ext cx="9145" cy="15242"/>
                    </a:xfrm>
                    <a:prstGeom prst="rect">
                      <a:avLst/>
                    </a:prstGeom>
                  </pic:spPr>
                </pic:pic>
              </a:graphicData>
            </a:graphic>
          </wp:anchor>
        </w:drawing>
      </w:r>
      <w:r w:rsidRPr="00F0615F">
        <w:rPr>
          <w:rFonts w:asciiTheme="majorBidi" w:hAnsiTheme="majorBidi" w:cstheme="majorBidi"/>
          <w:bCs/>
          <w:noProof/>
          <w:sz w:val="24"/>
          <w:szCs w:val="24"/>
        </w:rPr>
        <w:t>Pour ce faire :</w:t>
      </w:r>
    </w:p>
    <w:p w14:paraId="516EA62A" w14:textId="6002AB67" w:rsidR="00B96C1B" w:rsidRPr="00F0615F" w:rsidRDefault="00B96C1B" w:rsidP="001812A6">
      <w:pPr>
        <w:pStyle w:val="Paragraphedeliste"/>
        <w:numPr>
          <w:ilvl w:val="0"/>
          <w:numId w:val="26"/>
        </w:numPr>
        <w:spacing w:after="0" w:line="276" w:lineRule="auto"/>
        <w:jc w:val="both"/>
        <w:rPr>
          <w:rFonts w:asciiTheme="majorBidi" w:hAnsiTheme="majorBidi" w:cstheme="majorBidi"/>
          <w:bCs/>
          <w:sz w:val="24"/>
          <w:szCs w:val="24"/>
        </w:rPr>
      </w:pPr>
      <w:r w:rsidRPr="00F0615F">
        <w:rPr>
          <w:rFonts w:asciiTheme="majorBidi" w:hAnsiTheme="majorBidi" w:cstheme="majorBidi"/>
          <w:bCs/>
          <w:sz w:val="24"/>
          <w:szCs w:val="24"/>
        </w:rPr>
        <w:t xml:space="preserve">Nous avons aligné les éléments de notre lettre de mission avec les programmes opérationnels que nous avons élaborés conformément aux attributions assignées à notre département ministériel ; </w:t>
      </w:r>
    </w:p>
    <w:p w14:paraId="1CE969A9" w14:textId="697EF73B" w:rsidR="00B96C1B" w:rsidRPr="00F0615F" w:rsidRDefault="00B96C1B" w:rsidP="001812A6">
      <w:pPr>
        <w:pStyle w:val="Paragraphedeliste"/>
        <w:numPr>
          <w:ilvl w:val="0"/>
          <w:numId w:val="26"/>
        </w:numPr>
        <w:spacing w:after="0" w:line="276" w:lineRule="auto"/>
        <w:jc w:val="both"/>
        <w:rPr>
          <w:rFonts w:asciiTheme="majorBidi" w:hAnsiTheme="majorBidi" w:cstheme="majorBidi"/>
          <w:bCs/>
          <w:sz w:val="24"/>
          <w:szCs w:val="24"/>
        </w:rPr>
      </w:pPr>
      <w:r w:rsidRPr="00F0615F">
        <w:rPr>
          <w:rFonts w:asciiTheme="majorBidi" w:hAnsiTheme="majorBidi" w:cstheme="majorBidi"/>
          <w:bCs/>
          <w:sz w:val="24"/>
          <w:szCs w:val="24"/>
        </w:rPr>
        <w:t>Puis l'ensemble de ces points ont été intégrés dans un tableau de mesure de résultats et d'appréciation de la performance du Ministère qui fait le lien entre les axes stratégiques du PRSP, les axes stratégiques du Ministère, les actions, les objectifs, les résultats, les indicateurs et les cibles de l’année en cours et de l’année suivante.</w:t>
      </w:r>
    </w:p>
    <w:p w14:paraId="184529BC" w14:textId="77777777" w:rsidR="00B96C1B" w:rsidRPr="00F0615F" w:rsidRDefault="00B96C1B" w:rsidP="001812A6">
      <w:pPr>
        <w:spacing w:after="0" w:line="276" w:lineRule="auto"/>
        <w:contextualSpacing/>
        <w:jc w:val="both"/>
        <w:rPr>
          <w:rFonts w:asciiTheme="majorBidi" w:hAnsiTheme="majorBidi" w:cstheme="majorBidi"/>
          <w:bCs/>
          <w:sz w:val="24"/>
          <w:szCs w:val="24"/>
        </w:rPr>
      </w:pPr>
    </w:p>
    <w:tbl>
      <w:tblPr>
        <w:tblStyle w:val="Grilledutableau"/>
        <w:tblW w:w="11317" w:type="dxa"/>
        <w:tblInd w:w="-714" w:type="dxa"/>
        <w:tblLayout w:type="fixed"/>
        <w:tblLook w:val="04A0" w:firstRow="1" w:lastRow="0" w:firstColumn="1" w:lastColumn="0" w:noHBand="0" w:noVBand="1"/>
      </w:tblPr>
      <w:tblGrid>
        <w:gridCol w:w="616"/>
        <w:gridCol w:w="1070"/>
        <w:gridCol w:w="1150"/>
        <w:gridCol w:w="850"/>
        <w:gridCol w:w="851"/>
        <w:gridCol w:w="1134"/>
        <w:gridCol w:w="992"/>
        <w:gridCol w:w="992"/>
        <w:gridCol w:w="851"/>
        <w:gridCol w:w="992"/>
        <w:gridCol w:w="1134"/>
        <w:gridCol w:w="685"/>
      </w:tblGrid>
      <w:tr w:rsidR="00F0615F" w:rsidRPr="00F0615F" w14:paraId="4D14801A" w14:textId="77777777" w:rsidTr="00FB1F16">
        <w:trPr>
          <w:trHeight w:val="360"/>
        </w:trPr>
        <w:tc>
          <w:tcPr>
            <w:tcW w:w="616" w:type="dxa"/>
            <w:vMerge w:val="restart"/>
          </w:tcPr>
          <w:p w14:paraId="3AB7A1CB" w14:textId="22A3ADCC"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rPr>
              <w:t>Axe PRSP</w:t>
            </w:r>
          </w:p>
        </w:tc>
        <w:tc>
          <w:tcPr>
            <w:tcW w:w="1070" w:type="dxa"/>
            <w:vMerge w:val="restart"/>
            <w:vAlign w:val="center"/>
          </w:tcPr>
          <w:p w14:paraId="31C6C549" w14:textId="0EB21A02"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Axes Stratégiques du Ministère</w:t>
            </w:r>
          </w:p>
        </w:tc>
        <w:tc>
          <w:tcPr>
            <w:tcW w:w="1150" w:type="dxa"/>
            <w:vMerge w:val="restart"/>
          </w:tcPr>
          <w:p w14:paraId="318B4CF9" w14:textId="445B4B31"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rPr>
              <w:t>Programmes/Actions</w:t>
            </w:r>
          </w:p>
        </w:tc>
        <w:tc>
          <w:tcPr>
            <w:tcW w:w="850" w:type="dxa"/>
            <w:vMerge w:val="restart"/>
          </w:tcPr>
          <w:p w14:paraId="4814C2ED" w14:textId="24F72AE4" w:rsidR="00F4167F" w:rsidRPr="00F0615F" w:rsidRDefault="00F4167F"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rPr>
              <w:t>O</w:t>
            </w:r>
            <w:r w:rsidR="008D7F0E" w:rsidRPr="00F0615F">
              <w:rPr>
                <w:rFonts w:asciiTheme="majorBidi" w:hAnsiTheme="majorBidi" w:cstheme="majorBidi"/>
                <w:bCs/>
                <w:sz w:val="24"/>
                <w:szCs w:val="24"/>
              </w:rPr>
              <w:t>bjectifs</w:t>
            </w:r>
          </w:p>
        </w:tc>
        <w:tc>
          <w:tcPr>
            <w:tcW w:w="851" w:type="dxa"/>
            <w:vMerge w:val="restart"/>
          </w:tcPr>
          <w:p w14:paraId="5F86C919" w14:textId="2E3F9A2D"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rPr>
              <w:t>Résultats</w:t>
            </w:r>
          </w:p>
        </w:tc>
        <w:tc>
          <w:tcPr>
            <w:tcW w:w="1134" w:type="dxa"/>
            <w:vMerge w:val="restart"/>
            <w:vAlign w:val="center"/>
          </w:tcPr>
          <w:p w14:paraId="50DDBD77" w14:textId="24C6E5E3"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Indicateurs de Résultats</w:t>
            </w:r>
          </w:p>
        </w:tc>
        <w:tc>
          <w:tcPr>
            <w:tcW w:w="1984" w:type="dxa"/>
            <w:gridSpan w:val="2"/>
            <w:vAlign w:val="center"/>
          </w:tcPr>
          <w:p w14:paraId="65BA61F5" w14:textId="0AE03250"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Cibles Années 2024</w:t>
            </w:r>
          </w:p>
        </w:tc>
        <w:tc>
          <w:tcPr>
            <w:tcW w:w="851" w:type="dxa"/>
            <w:vMerge w:val="restart"/>
            <w:vAlign w:val="center"/>
          </w:tcPr>
          <w:p w14:paraId="3A4CEB24" w14:textId="419E725A" w:rsidR="00F4167F" w:rsidRPr="00F0615F" w:rsidRDefault="00F4167F"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rPr>
              <w:t>Taux de réalisation 2024</w:t>
            </w:r>
          </w:p>
        </w:tc>
        <w:tc>
          <w:tcPr>
            <w:tcW w:w="2126" w:type="dxa"/>
            <w:gridSpan w:val="2"/>
          </w:tcPr>
          <w:p w14:paraId="33E59693" w14:textId="7E764C4C"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Cibles Années 2025</w:t>
            </w:r>
          </w:p>
        </w:tc>
        <w:tc>
          <w:tcPr>
            <w:tcW w:w="685" w:type="dxa"/>
            <w:vMerge w:val="restart"/>
          </w:tcPr>
          <w:p w14:paraId="09CE5EB8" w14:textId="57461E8E" w:rsidR="00F4167F"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Année 2026</w:t>
            </w:r>
          </w:p>
        </w:tc>
      </w:tr>
      <w:tr w:rsidR="00F0615F" w:rsidRPr="00F0615F" w14:paraId="5455CDF1" w14:textId="77777777" w:rsidTr="00FB1F16">
        <w:trPr>
          <w:trHeight w:val="360"/>
        </w:trPr>
        <w:tc>
          <w:tcPr>
            <w:tcW w:w="616" w:type="dxa"/>
            <w:vMerge/>
          </w:tcPr>
          <w:p w14:paraId="42999717" w14:textId="77777777" w:rsidR="008D7F0E" w:rsidRPr="00F0615F" w:rsidRDefault="008D7F0E" w:rsidP="001812A6">
            <w:pPr>
              <w:spacing w:line="276" w:lineRule="auto"/>
              <w:jc w:val="both"/>
              <w:rPr>
                <w:rFonts w:asciiTheme="majorBidi" w:hAnsiTheme="majorBidi" w:cstheme="majorBidi"/>
                <w:bCs/>
                <w:sz w:val="24"/>
                <w:szCs w:val="24"/>
              </w:rPr>
            </w:pPr>
          </w:p>
        </w:tc>
        <w:tc>
          <w:tcPr>
            <w:tcW w:w="1070" w:type="dxa"/>
            <w:vMerge/>
            <w:vAlign w:val="center"/>
          </w:tcPr>
          <w:p w14:paraId="194628C5" w14:textId="77777777" w:rsidR="008D7F0E" w:rsidRPr="00F0615F" w:rsidRDefault="008D7F0E" w:rsidP="001812A6">
            <w:pPr>
              <w:spacing w:line="276" w:lineRule="auto"/>
              <w:jc w:val="both"/>
              <w:rPr>
                <w:rFonts w:asciiTheme="majorBidi" w:hAnsiTheme="majorBidi" w:cstheme="majorBidi"/>
                <w:bCs/>
                <w:sz w:val="24"/>
                <w:szCs w:val="24"/>
              </w:rPr>
            </w:pPr>
          </w:p>
        </w:tc>
        <w:tc>
          <w:tcPr>
            <w:tcW w:w="1150" w:type="dxa"/>
            <w:vMerge/>
          </w:tcPr>
          <w:p w14:paraId="3396D81F" w14:textId="77777777" w:rsidR="008D7F0E" w:rsidRPr="00F0615F" w:rsidRDefault="008D7F0E" w:rsidP="001812A6">
            <w:pPr>
              <w:spacing w:line="276" w:lineRule="auto"/>
              <w:jc w:val="both"/>
              <w:rPr>
                <w:rFonts w:asciiTheme="majorBidi" w:hAnsiTheme="majorBidi" w:cstheme="majorBidi"/>
                <w:bCs/>
                <w:sz w:val="24"/>
                <w:szCs w:val="24"/>
              </w:rPr>
            </w:pPr>
          </w:p>
        </w:tc>
        <w:tc>
          <w:tcPr>
            <w:tcW w:w="850" w:type="dxa"/>
            <w:vMerge/>
          </w:tcPr>
          <w:p w14:paraId="3CEDECD6" w14:textId="77777777" w:rsidR="008D7F0E" w:rsidRPr="00F0615F" w:rsidRDefault="008D7F0E" w:rsidP="001812A6">
            <w:pPr>
              <w:spacing w:line="276" w:lineRule="auto"/>
              <w:jc w:val="both"/>
              <w:rPr>
                <w:rFonts w:asciiTheme="majorBidi" w:hAnsiTheme="majorBidi" w:cstheme="majorBidi"/>
                <w:bCs/>
                <w:sz w:val="24"/>
                <w:szCs w:val="24"/>
              </w:rPr>
            </w:pPr>
          </w:p>
        </w:tc>
        <w:tc>
          <w:tcPr>
            <w:tcW w:w="851" w:type="dxa"/>
            <w:vMerge/>
          </w:tcPr>
          <w:p w14:paraId="0EA3A3D7" w14:textId="77777777" w:rsidR="008D7F0E" w:rsidRPr="00F0615F" w:rsidRDefault="008D7F0E" w:rsidP="001812A6">
            <w:pPr>
              <w:spacing w:line="276" w:lineRule="auto"/>
              <w:jc w:val="both"/>
              <w:rPr>
                <w:rFonts w:asciiTheme="majorBidi" w:hAnsiTheme="majorBidi" w:cstheme="majorBidi"/>
                <w:bCs/>
                <w:sz w:val="24"/>
                <w:szCs w:val="24"/>
              </w:rPr>
            </w:pPr>
          </w:p>
        </w:tc>
        <w:tc>
          <w:tcPr>
            <w:tcW w:w="1134" w:type="dxa"/>
            <w:vMerge/>
            <w:vAlign w:val="center"/>
          </w:tcPr>
          <w:p w14:paraId="36D11745" w14:textId="77777777" w:rsidR="008D7F0E" w:rsidRPr="00F0615F" w:rsidRDefault="008D7F0E" w:rsidP="001812A6">
            <w:pPr>
              <w:spacing w:line="276" w:lineRule="auto"/>
              <w:jc w:val="both"/>
              <w:rPr>
                <w:rFonts w:asciiTheme="majorBidi" w:hAnsiTheme="majorBidi" w:cstheme="majorBidi"/>
                <w:bCs/>
                <w:sz w:val="24"/>
                <w:szCs w:val="24"/>
              </w:rPr>
            </w:pPr>
          </w:p>
        </w:tc>
        <w:tc>
          <w:tcPr>
            <w:tcW w:w="992" w:type="dxa"/>
          </w:tcPr>
          <w:p w14:paraId="4A3896F6" w14:textId="60C328C5" w:rsidR="008D7F0E"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Prévisions</w:t>
            </w:r>
          </w:p>
        </w:tc>
        <w:tc>
          <w:tcPr>
            <w:tcW w:w="992" w:type="dxa"/>
          </w:tcPr>
          <w:p w14:paraId="0E767355" w14:textId="299CE6C7" w:rsidR="008D7F0E"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Réalisation</w:t>
            </w:r>
          </w:p>
        </w:tc>
        <w:tc>
          <w:tcPr>
            <w:tcW w:w="851" w:type="dxa"/>
            <w:vMerge/>
          </w:tcPr>
          <w:p w14:paraId="71333F5F" w14:textId="77777777" w:rsidR="008D7F0E" w:rsidRPr="00F0615F" w:rsidRDefault="008D7F0E" w:rsidP="001812A6">
            <w:pPr>
              <w:spacing w:line="276" w:lineRule="auto"/>
              <w:jc w:val="both"/>
              <w:rPr>
                <w:rFonts w:asciiTheme="majorBidi" w:hAnsiTheme="majorBidi" w:cstheme="majorBidi"/>
                <w:bCs/>
                <w:sz w:val="24"/>
                <w:szCs w:val="24"/>
                <w:lang w:val="fr-BE"/>
              </w:rPr>
            </w:pPr>
          </w:p>
        </w:tc>
        <w:tc>
          <w:tcPr>
            <w:tcW w:w="992" w:type="dxa"/>
          </w:tcPr>
          <w:p w14:paraId="30E0B2E9" w14:textId="1341D1AB" w:rsidR="008D7F0E" w:rsidRPr="00F0615F" w:rsidRDefault="00CD4811"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Prévisions</w:t>
            </w:r>
          </w:p>
        </w:tc>
        <w:tc>
          <w:tcPr>
            <w:tcW w:w="1134" w:type="dxa"/>
          </w:tcPr>
          <w:p w14:paraId="561301E4" w14:textId="069636C4" w:rsidR="008D7F0E" w:rsidRPr="00F0615F" w:rsidRDefault="008D7F0E" w:rsidP="001812A6">
            <w:pPr>
              <w:spacing w:line="276" w:lineRule="auto"/>
              <w:jc w:val="both"/>
              <w:rPr>
                <w:rFonts w:asciiTheme="majorBidi" w:hAnsiTheme="majorBidi" w:cstheme="majorBidi"/>
                <w:bCs/>
                <w:sz w:val="24"/>
                <w:szCs w:val="24"/>
                <w:lang w:val="fr-BE"/>
              </w:rPr>
            </w:pPr>
            <w:r w:rsidRPr="00F0615F">
              <w:rPr>
                <w:rFonts w:asciiTheme="majorBidi" w:hAnsiTheme="majorBidi" w:cstheme="majorBidi"/>
                <w:bCs/>
                <w:sz w:val="24"/>
                <w:szCs w:val="24"/>
                <w:lang w:val="fr-BE"/>
              </w:rPr>
              <w:t>Réalisations</w:t>
            </w:r>
          </w:p>
        </w:tc>
        <w:tc>
          <w:tcPr>
            <w:tcW w:w="685" w:type="dxa"/>
            <w:vMerge/>
          </w:tcPr>
          <w:p w14:paraId="323C74B3" w14:textId="77777777" w:rsidR="008D7F0E" w:rsidRPr="00F0615F" w:rsidRDefault="008D7F0E" w:rsidP="001812A6">
            <w:pPr>
              <w:spacing w:line="276" w:lineRule="auto"/>
              <w:jc w:val="both"/>
              <w:rPr>
                <w:rFonts w:asciiTheme="majorBidi" w:hAnsiTheme="majorBidi" w:cstheme="majorBidi"/>
                <w:bCs/>
                <w:sz w:val="24"/>
                <w:szCs w:val="24"/>
                <w:lang w:val="fr-BE"/>
              </w:rPr>
            </w:pPr>
          </w:p>
        </w:tc>
      </w:tr>
    </w:tbl>
    <w:p w14:paraId="045C0EE8" w14:textId="77777777" w:rsidR="00B35B45" w:rsidRPr="00F0615F" w:rsidRDefault="00B35B45" w:rsidP="001812A6">
      <w:pPr>
        <w:spacing w:after="0" w:line="276" w:lineRule="auto"/>
        <w:jc w:val="both"/>
        <w:rPr>
          <w:rFonts w:asciiTheme="majorBidi" w:hAnsiTheme="majorBidi" w:cstheme="majorBidi"/>
          <w:bCs/>
          <w:sz w:val="24"/>
          <w:szCs w:val="24"/>
          <w:lang w:val="fr-BE"/>
        </w:rPr>
      </w:pPr>
    </w:p>
    <w:p w14:paraId="4990B534" w14:textId="77777777" w:rsidR="008D7F0E" w:rsidRPr="00F0615F" w:rsidRDefault="008D7F0E" w:rsidP="001812A6">
      <w:pPr>
        <w:spacing w:after="0" w:line="276" w:lineRule="auto"/>
        <w:jc w:val="both"/>
        <w:rPr>
          <w:rFonts w:asciiTheme="majorBidi" w:hAnsiTheme="majorBidi" w:cstheme="majorBidi"/>
          <w:bCs/>
          <w:sz w:val="24"/>
          <w:szCs w:val="24"/>
          <w:lang w:val="fr-BE"/>
        </w:rPr>
      </w:pPr>
    </w:p>
    <w:p w14:paraId="192F1D44" w14:textId="77777777" w:rsidR="00B96C1B" w:rsidRPr="00F0615F" w:rsidRDefault="00B96C1B" w:rsidP="001812A6">
      <w:pPr>
        <w:spacing w:after="0" w:line="276" w:lineRule="auto"/>
        <w:contextualSpacing/>
        <w:jc w:val="both"/>
        <w:rPr>
          <w:rFonts w:asciiTheme="majorBidi" w:hAnsiTheme="majorBidi" w:cstheme="majorBidi"/>
          <w:bCs/>
          <w:sz w:val="24"/>
          <w:szCs w:val="24"/>
        </w:rPr>
      </w:pPr>
      <w:r w:rsidRPr="00F0615F">
        <w:rPr>
          <w:rFonts w:asciiTheme="majorBidi" w:hAnsiTheme="majorBidi" w:cstheme="majorBidi"/>
          <w:bCs/>
          <w:sz w:val="24"/>
          <w:szCs w:val="24"/>
        </w:rPr>
        <w:t>Et enfin, pour un bon mécanisme de suivi et de reportage, j'ai instauré par lettre circulaire la production obligatoire des rapports trimestriels, semestriels et annuels au niveau de tous mes services. Ces rapports font ressortir entre autres l'état d'avancement des projets en cours, une analyse des résultats obtenus, l'identification des difficultés rencontrées et des propositions d'amélioration.</w:t>
      </w:r>
    </w:p>
    <w:p w14:paraId="2828071D" w14:textId="77777777" w:rsidR="008D7F0E" w:rsidRPr="00F0615F" w:rsidRDefault="008D7F0E" w:rsidP="001812A6">
      <w:pPr>
        <w:spacing w:after="0" w:line="276" w:lineRule="auto"/>
        <w:jc w:val="both"/>
        <w:rPr>
          <w:rFonts w:asciiTheme="majorBidi" w:hAnsiTheme="majorBidi" w:cstheme="majorBidi"/>
          <w:bCs/>
          <w:sz w:val="24"/>
          <w:szCs w:val="24"/>
          <w:lang w:val="fr-BE"/>
        </w:rPr>
      </w:pPr>
    </w:p>
    <w:p w14:paraId="2FA64844" w14:textId="77777777" w:rsidR="00B96C1B" w:rsidRPr="00F0615F" w:rsidRDefault="00B96C1B" w:rsidP="001812A6">
      <w:pPr>
        <w:spacing w:after="0" w:line="276" w:lineRule="auto"/>
        <w:jc w:val="both"/>
        <w:rPr>
          <w:rFonts w:asciiTheme="majorBidi" w:hAnsiTheme="majorBidi" w:cstheme="majorBidi"/>
          <w:bCs/>
          <w:sz w:val="24"/>
          <w:szCs w:val="24"/>
          <w:lang w:val="fr-BE"/>
        </w:rPr>
      </w:pPr>
    </w:p>
    <w:p w14:paraId="39218F98" w14:textId="77777777" w:rsidR="00B35B45" w:rsidRPr="00F0615F" w:rsidRDefault="00B35B45" w:rsidP="001812A6">
      <w:pPr>
        <w:pStyle w:val="Paragraphedeliste"/>
        <w:keepNext/>
        <w:keepLines/>
        <w:numPr>
          <w:ilvl w:val="0"/>
          <w:numId w:val="33"/>
        </w:numPr>
        <w:spacing w:after="0" w:line="276" w:lineRule="auto"/>
        <w:jc w:val="both"/>
        <w:outlineLvl w:val="0"/>
        <w:rPr>
          <w:rFonts w:asciiTheme="majorBidi" w:eastAsia="Times New Roman" w:hAnsiTheme="majorBidi" w:cstheme="majorBidi"/>
          <w:bCs/>
          <w:sz w:val="24"/>
          <w:szCs w:val="24"/>
          <w:u w:val="single"/>
        </w:rPr>
      </w:pPr>
      <w:r w:rsidRPr="00F0615F">
        <w:rPr>
          <w:rFonts w:asciiTheme="majorBidi" w:eastAsia="Times New Roman" w:hAnsiTheme="majorBidi" w:cstheme="majorBidi"/>
          <w:bCs/>
          <w:sz w:val="24"/>
          <w:szCs w:val="24"/>
          <w:u w:val="single"/>
        </w:rPr>
        <w:t>Difficultés et Contraintes</w:t>
      </w:r>
    </w:p>
    <w:p w14:paraId="578E84FF" w14:textId="77777777" w:rsidR="00B35B45" w:rsidRPr="00F0615F" w:rsidRDefault="00B35B45" w:rsidP="001812A6">
      <w:pPr>
        <w:keepNext/>
        <w:keepLines/>
        <w:spacing w:after="0" w:line="276" w:lineRule="auto"/>
        <w:jc w:val="both"/>
        <w:outlineLvl w:val="0"/>
        <w:rPr>
          <w:rFonts w:asciiTheme="majorBidi" w:hAnsiTheme="majorBidi" w:cstheme="majorBidi"/>
          <w:bCs/>
          <w:sz w:val="24"/>
          <w:szCs w:val="24"/>
        </w:rPr>
      </w:pPr>
    </w:p>
    <w:p w14:paraId="11910F1E" w14:textId="77777777" w:rsidR="00B35B45" w:rsidRPr="00F0615F" w:rsidRDefault="00B35B45" w:rsidP="001812A6">
      <w:pPr>
        <w:pStyle w:val="Paragraphedeliste"/>
        <w:keepNext/>
        <w:keepLines/>
        <w:numPr>
          <w:ilvl w:val="0"/>
          <w:numId w:val="49"/>
        </w:numPr>
        <w:spacing w:after="0" w:line="276" w:lineRule="auto"/>
        <w:jc w:val="both"/>
        <w:outlineLvl w:val="0"/>
        <w:rPr>
          <w:rFonts w:asciiTheme="majorBidi" w:hAnsiTheme="majorBidi" w:cstheme="majorBidi"/>
          <w:bCs/>
          <w:sz w:val="24"/>
          <w:szCs w:val="24"/>
        </w:rPr>
      </w:pPr>
      <w:r w:rsidRPr="00F0615F">
        <w:rPr>
          <w:rFonts w:asciiTheme="majorBidi" w:hAnsiTheme="majorBidi" w:cstheme="majorBidi"/>
          <w:bCs/>
          <w:sz w:val="24"/>
          <w:szCs w:val="24"/>
        </w:rPr>
        <w:t xml:space="preserve">L’insuffisance </w:t>
      </w:r>
      <w:r w:rsidRPr="00F0615F">
        <w:rPr>
          <w:rFonts w:asciiTheme="majorBidi" w:hAnsiTheme="majorBidi" w:cstheme="majorBidi"/>
          <w:bCs/>
          <w:iCs/>
          <w:sz w:val="24"/>
          <w:szCs w:val="24"/>
        </w:rPr>
        <w:t>de cadres compétents pour remplacer ceux massivement partis à la retraite et combler le manque au niveau des entités déconcentrées et décentralisées ;</w:t>
      </w:r>
    </w:p>
    <w:p w14:paraId="04FDBBA2" w14:textId="77777777" w:rsidR="00B35B45" w:rsidRPr="00F0615F" w:rsidRDefault="00B35B45" w:rsidP="001812A6">
      <w:pPr>
        <w:pStyle w:val="Paragraphedeliste"/>
        <w:keepNext/>
        <w:keepLines/>
        <w:numPr>
          <w:ilvl w:val="0"/>
          <w:numId w:val="49"/>
        </w:numPr>
        <w:spacing w:after="0" w:line="276" w:lineRule="auto"/>
        <w:jc w:val="both"/>
        <w:outlineLvl w:val="0"/>
        <w:rPr>
          <w:rFonts w:asciiTheme="majorBidi" w:hAnsiTheme="majorBidi" w:cstheme="majorBidi"/>
          <w:bCs/>
          <w:sz w:val="24"/>
          <w:szCs w:val="24"/>
        </w:rPr>
      </w:pPr>
      <w:r w:rsidRPr="00F0615F">
        <w:rPr>
          <w:rFonts w:asciiTheme="majorBidi" w:hAnsiTheme="majorBidi" w:cstheme="majorBidi"/>
          <w:bCs/>
          <w:sz w:val="24"/>
          <w:szCs w:val="24"/>
        </w:rPr>
        <w:t>L’insuffisance des moyens financiers ;</w:t>
      </w:r>
    </w:p>
    <w:p w14:paraId="1513DF24" w14:textId="77777777" w:rsidR="00B35B45" w:rsidRPr="00F0615F" w:rsidRDefault="00B35B45" w:rsidP="001812A6">
      <w:pPr>
        <w:pStyle w:val="Paragraphedeliste"/>
        <w:keepNext/>
        <w:keepLines/>
        <w:numPr>
          <w:ilvl w:val="0"/>
          <w:numId w:val="49"/>
        </w:numPr>
        <w:spacing w:after="0" w:line="276" w:lineRule="auto"/>
        <w:jc w:val="both"/>
        <w:outlineLvl w:val="0"/>
        <w:rPr>
          <w:rFonts w:asciiTheme="majorBidi" w:hAnsiTheme="majorBidi" w:cstheme="majorBidi"/>
          <w:bCs/>
          <w:sz w:val="24"/>
          <w:szCs w:val="24"/>
        </w:rPr>
      </w:pPr>
      <w:r w:rsidRPr="00F0615F">
        <w:rPr>
          <w:rFonts w:asciiTheme="majorBidi" w:hAnsiTheme="majorBidi" w:cstheme="majorBidi"/>
          <w:bCs/>
          <w:sz w:val="24"/>
          <w:szCs w:val="24"/>
        </w:rPr>
        <w:t>L’insuffisance de synergie entre les différents acteurs du secteur ;</w:t>
      </w:r>
    </w:p>
    <w:p w14:paraId="36641EC7" w14:textId="77777777" w:rsidR="00B35B45" w:rsidRPr="00F0615F" w:rsidRDefault="00B35B45" w:rsidP="001812A6">
      <w:pPr>
        <w:pStyle w:val="Paragraphedeliste"/>
        <w:keepNext/>
        <w:keepLines/>
        <w:numPr>
          <w:ilvl w:val="0"/>
          <w:numId w:val="49"/>
        </w:numPr>
        <w:spacing w:after="0" w:line="276" w:lineRule="auto"/>
        <w:jc w:val="both"/>
        <w:outlineLvl w:val="0"/>
        <w:rPr>
          <w:rFonts w:asciiTheme="majorBidi" w:eastAsia="Times New Roman" w:hAnsiTheme="majorBidi" w:cstheme="majorBidi"/>
          <w:bCs/>
          <w:sz w:val="24"/>
          <w:szCs w:val="24"/>
        </w:rPr>
      </w:pPr>
      <w:r w:rsidRPr="00F0615F">
        <w:rPr>
          <w:rFonts w:asciiTheme="majorBidi" w:hAnsiTheme="majorBidi" w:cstheme="majorBidi"/>
          <w:bCs/>
          <w:sz w:val="24"/>
          <w:szCs w:val="24"/>
        </w:rPr>
        <w:t>L’insuffisance des moyens logistiques ;</w:t>
      </w:r>
    </w:p>
    <w:p w14:paraId="39FD82B3" w14:textId="77777777" w:rsidR="00B35B45" w:rsidRPr="00F0615F" w:rsidRDefault="00B35B45" w:rsidP="001812A6">
      <w:pPr>
        <w:pStyle w:val="Paragraphedeliste"/>
        <w:keepNext/>
        <w:keepLines/>
        <w:numPr>
          <w:ilvl w:val="0"/>
          <w:numId w:val="49"/>
        </w:numPr>
        <w:spacing w:after="0" w:line="276" w:lineRule="auto"/>
        <w:jc w:val="both"/>
        <w:outlineLvl w:val="0"/>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 xml:space="preserve">Le manque de partenaire spécifique pour le </w:t>
      </w:r>
      <w:proofErr w:type="gramStart"/>
      <w:r w:rsidRPr="00F0615F">
        <w:rPr>
          <w:rFonts w:asciiTheme="majorBidi" w:eastAsia="Times New Roman" w:hAnsiTheme="majorBidi" w:cstheme="majorBidi"/>
          <w:bCs/>
          <w:sz w:val="24"/>
          <w:szCs w:val="24"/>
        </w:rPr>
        <w:t>Ministère de l’Urbanisme</w:t>
      </w:r>
      <w:proofErr w:type="gramEnd"/>
      <w:r w:rsidRPr="00F0615F">
        <w:rPr>
          <w:rFonts w:asciiTheme="majorBidi" w:eastAsia="Times New Roman" w:hAnsiTheme="majorBidi" w:cstheme="majorBidi"/>
          <w:bCs/>
          <w:sz w:val="24"/>
          <w:szCs w:val="24"/>
        </w:rPr>
        <w:t xml:space="preserve"> et de l’Habitat.</w:t>
      </w:r>
    </w:p>
    <w:p w14:paraId="4D8BCEAA" w14:textId="77777777" w:rsidR="00B35B45" w:rsidRPr="00F0615F" w:rsidRDefault="00B35B45" w:rsidP="001812A6">
      <w:pPr>
        <w:pStyle w:val="Paragraphedeliste"/>
        <w:keepNext/>
        <w:keepLines/>
        <w:spacing w:after="0" w:line="276" w:lineRule="auto"/>
        <w:jc w:val="both"/>
        <w:outlineLvl w:val="0"/>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 </w:t>
      </w:r>
    </w:p>
    <w:p w14:paraId="07842E19" w14:textId="4239E13D" w:rsidR="00B35B45" w:rsidRPr="00F0615F" w:rsidRDefault="00B35B45" w:rsidP="001812A6">
      <w:pPr>
        <w:keepNext/>
        <w:keepLines/>
        <w:numPr>
          <w:ilvl w:val="0"/>
          <w:numId w:val="33"/>
        </w:numPr>
        <w:spacing w:after="0" w:line="276" w:lineRule="auto"/>
        <w:jc w:val="both"/>
        <w:outlineLvl w:val="0"/>
        <w:rPr>
          <w:rFonts w:asciiTheme="majorBidi" w:eastAsia="Times New Roman" w:hAnsiTheme="majorBidi" w:cstheme="majorBidi"/>
          <w:bCs/>
          <w:sz w:val="24"/>
          <w:szCs w:val="24"/>
        </w:rPr>
      </w:pPr>
      <w:r w:rsidRPr="00F0615F">
        <w:rPr>
          <w:rFonts w:asciiTheme="majorBidi" w:eastAsia="Times New Roman" w:hAnsiTheme="majorBidi" w:cstheme="majorBidi"/>
          <w:bCs/>
          <w:sz w:val="24"/>
          <w:szCs w:val="24"/>
        </w:rPr>
        <w:t xml:space="preserve">Conclusion </w:t>
      </w:r>
    </w:p>
    <w:p w14:paraId="74E91C7E" w14:textId="77777777" w:rsidR="00B35B45" w:rsidRPr="00F0615F" w:rsidRDefault="00B35B45" w:rsidP="001812A6">
      <w:pPr>
        <w:keepNext/>
        <w:keepLines/>
        <w:spacing w:after="0" w:line="276" w:lineRule="auto"/>
        <w:ind w:left="360"/>
        <w:jc w:val="both"/>
        <w:outlineLvl w:val="0"/>
        <w:rPr>
          <w:rFonts w:asciiTheme="majorBidi" w:eastAsia="Times New Roman" w:hAnsiTheme="majorBidi" w:cstheme="majorBidi"/>
          <w:bCs/>
          <w:sz w:val="24"/>
          <w:szCs w:val="24"/>
        </w:rPr>
      </w:pPr>
    </w:p>
    <w:p w14:paraId="2DF6FC72" w14:textId="78BB64A9" w:rsidR="00922A21" w:rsidRPr="00F0615F" w:rsidRDefault="00B35B45" w:rsidP="001812A6">
      <w:pPr>
        <w:contextualSpacing/>
        <w:jc w:val="both"/>
        <w:rPr>
          <w:rFonts w:asciiTheme="majorBidi" w:hAnsiTheme="majorBidi" w:cstheme="majorBidi"/>
          <w:bCs/>
          <w:sz w:val="24"/>
          <w:szCs w:val="24"/>
        </w:rPr>
      </w:pPr>
      <w:r w:rsidRPr="00F0615F">
        <w:rPr>
          <w:rFonts w:asciiTheme="majorBidi" w:eastAsia="Times New Roman" w:hAnsiTheme="majorBidi" w:cstheme="majorBidi"/>
          <w:bCs/>
          <w:sz w:val="24"/>
          <w:szCs w:val="24"/>
          <w:lang w:eastAsia="fr-FR"/>
        </w:rPr>
        <w:t xml:space="preserve">Le MUH s’est évertué au mieux de ses capacités et ressources à atteindre les résultats globalement obtenus jusqu'à présent. </w:t>
      </w:r>
    </w:p>
    <w:p w14:paraId="667EEBED" w14:textId="62E3A29E" w:rsidR="00B35B45" w:rsidRPr="00F0615F" w:rsidRDefault="00B35B45" w:rsidP="001812A6">
      <w:pPr>
        <w:spacing w:after="0" w:line="276" w:lineRule="auto"/>
        <w:ind w:left="360"/>
        <w:jc w:val="both"/>
        <w:rPr>
          <w:rFonts w:asciiTheme="majorBidi" w:hAnsiTheme="majorBidi" w:cstheme="majorBidi"/>
          <w:bCs/>
          <w:sz w:val="24"/>
          <w:szCs w:val="24"/>
        </w:rPr>
      </w:pPr>
    </w:p>
    <w:p w14:paraId="2C6B2CB7" w14:textId="77777777" w:rsidR="00B35B45" w:rsidRPr="00F0615F" w:rsidRDefault="00B35B45" w:rsidP="001812A6">
      <w:pPr>
        <w:spacing w:after="0" w:line="276" w:lineRule="auto"/>
        <w:jc w:val="both"/>
        <w:rPr>
          <w:rFonts w:asciiTheme="majorBidi" w:hAnsiTheme="majorBidi" w:cstheme="majorBidi"/>
          <w:bCs/>
          <w:sz w:val="24"/>
          <w:szCs w:val="24"/>
        </w:rPr>
      </w:pPr>
      <w:r w:rsidRPr="00F0615F">
        <w:rPr>
          <w:rFonts w:asciiTheme="majorBidi" w:hAnsiTheme="majorBidi" w:cstheme="majorBidi"/>
          <w:bCs/>
          <w:sz w:val="24"/>
          <w:szCs w:val="24"/>
        </w:rPr>
        <w:t>Les performances atteintes seraient certainement de loin meilleures n’eussent été certaines contraintes majeures rencontrées au cours de la période à savoir l’insuffisance du personnel et le manque de synergie entre les différents acteurs du secteur de développement urbain.</w:t>
      </w:r>
    </w:p>
    <w:p w14:paraId="269F246D" w14:textId="77777777" w:rsidR="00B35B45" w:rsidRPr="00F0615F" w:rsidRDefault="00B35B45" w:rsidP="001812A6">
      <w:pPr>
        <w:spacing w:after="0" w:line="276" w:lineRule="auto"/>
        <w:jc w:val="both"/>
        <w:rPr>
          <w:rFonts w:asciiTheme="majorBidi" w:hAnsiTheme="majorBidi" w:cstheme="majorBidi"/>
          <w:bCs/>
          <w:sz w:val="24"/>
          <w:szCs w:val="24"/>
        </w:rPr>
      </w:pPr>
      <w:r w:rsidRPr="00F0615F">
        <w:rPr>
          <w:rFonts w:asciiTheme="majorBidi" w:hAnsiTheme="majorBidi" w:cstheme="majorBidi"/>
          <w:bCs/>
          <w:sz w:val="24"/>
          <w:szCs w:val="24"/>
        </w:rPr>
        <w:lastRenderedPageBreak/>
        <w:t xml:space="preserve">Cependant, ces contraintes n’empêchent pas </w:t>
      </w:r>
      <w:proofErr w:type="gramStart"/>
      <w:r w:rsidRPr="00F0615F">
        <w:rPr>
          <w:rFonts w:asciiTheme="majorBidi" w:hAnsiTheme="majorBidi" w:cstheme="majorBidi"/>
          <w:bCs/>
          <w:sz w:val="24"/>
          <w:szCs w:val="24"/>
        </w:rPr>
        <w:t>au</w:t>
      </w:r>
      <w:proofErr w:type="gramEnd"/>
      <w:r w:rsidRPr="00F0615F">
        <w:rPr>
          <w:rFonts w:asciiTheme="majorBidi" w:hAnsiTheme="majorBidi" w:cstheme="majorBidi"/>
          <w:bCs/>
          <w:sz w:val="24"/>
          <w:szCs w:val="24"/>
        </w:rPr>
        <w:t xml:space="preserve"> ministère d’envisager certaines perspectives majeures comme :</w:t>
      </w:r>
    </w:p>
    <w:p w14:paraId="42452910" w14:textId="77777777" w:rsidR="00B35B45" w:rsidRPr="00F0615F" w:rsidRDefault="00B35B45" w:rsidP="001812A6">
      <w:pPr>
        <w:spacing w:after="0" w:line="276" w:lineRule="auto"/>
        <w:ind w:left="360"/>
        <w:jc w:val="both"/>
        <w:rPr>
          <w:rFonts w:asciiTheme="majorBidi" w:hAnsiTheme="majorBidi" w:cstheme="majorBidi"/>
          <w:bCs/>
          <w:sz w:val="24"/>
          <w:szCs w:val="24"/>
        </w:rPr>
      </w:pPr>
      <w:r w:rsidRPr="00F0615F">
        <w:rPr>
          <w:rFonts w:asciiTheme="majorBidi" w:hAnsiTheme="majorBidi" w:cstheme="majorBidi"/>
          <w:bCs/>
          <w:sz w:val="24"/>
          <w:szCs w:val="24"/>
        </w:rPr>
        <w:t>1. le recrutement de personnel en quantité et qualité pour combler le départ massif des agents à la retraite et les nouveaux besoins ;</w:t>
      </w:r>
    </w:p>
    <w:p w14:paraId="51063C93" w14:textId="57C8A78F" w:rsidR="00F4167F" w:rsidRPr="00F0615F" w:rsidRDefault="00B35B45" w:rsidP="001812A6">
      <w:pPr>
        <w:spacing w:after="0" w:line="276" w:lineRule="auto"/>
        <w:ind w:left="360"/>
        <w:jc w:val="both"/>
        <w:rPr>
          <w:rFonts w:asciiTheme="majorBidi" w:hAnsiTheme="majorBidi" w:cstheme="majorBidi"/>
          <w:bCs/>
          <w:sz w:val="24"/>
          <w:szCs w:val="24"/>
          <w:lang w:val="fr-BE"/>
        </w:rPr>
      </w:pPr>
      <w:r w:rsidRPr="00F0615F">
        <w:rPr>
          <w:rFonts w:asciiTheme="majorBidi" w:hAnsiTheme="majorBidi" w:cstheme="majorBidi"/>
          <w:bCs/>
          <w:sz w:val="24"/>
          <w:szCs w:val="24"/>
        </w:rPr>
        <w:t>2. l’affirmation de la présence effective du MUH dans toutes les entités décentralisées et déconcentrées concernées du pays ;</w:t>
      </w:r>
    </w:p>
    <w:sectPr w:rsidR="00F4167F" w:rsidRPr="00F0615F" w:rsidSect="00C76DF0">
      <w:footerReference w:type="defaul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8E9D" w14:textId="77777777" w:rsidR="0030246D" w:rsidRDefault="0030246D" w:rsidP="00C76DF0">
      <w:pPr>
        <w:spacing w:after="0" w:line="240" w:lineRule="auto"/>
      </w:pPr>
      <w:r>
        <w:separator/>
      </w:r>
    </w:p>
  </w:endnote>
  <w:endnote w:type="continuationSeparator" w:id="0">
    <w:p w14:paraId="1F9F067B" w14:textId="77777777" w:rsidR="0030246D" w:rsidRDefault="0030246D" w:rsidP="00C7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489641218"/>
      <w:docPartObj>
        <w:docPartGallery w:val="Page Numbers (Bottom of Page)"/>
        <w:docPartUnique/>
      </w:docPartObj>
    </w:sdtPr>
    <w:sdtContent>
      <w:sdt>
        <w:sdtPr>
          <w:rPr>
            <w:rFonts w:asciiTheme="majorHAnsi" w:eastAsiaTheme="majorEastAsia" w:hAnsiTheme="majorHAnsi" w:cstheme="majorBidi"/>
          </w:rPr>
          <w:id w:val="1806425445"/>
        </w:sdtPr>
        <w:sdtContent>
          <w:p w14:paraId="3948E0AB" w14:textId="2DC0CF63" w:rsidR="00293B9D" w:rsidRDefault="00293B9D">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B91B88E" wp14:editId="4265ECD5">
                      <wp:simplePos x="0" y="0"/>
                      <wp:positionH relativeFrom="margin">
                        <wp:align>center</wp:align>
                      </wp:positionH>
                      <wp:positionV relativeFrom="bottomMargin">
                        <wp:align>center</wp:align>
                      </wp:positionV>
                      <wp:extent cx="626745" cy="626745"/>
                      <wp:effectExtent l="0" t="0" r="1905" b="1905"/>
                      <wp:wrapNone/>
                      <wp:docPr id="950006055"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61F6E1" w14:textId="77777777" w:rsidR="00293B9D" w:rsidRDefault="00293B9D">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B91B88E" id="Ellipse 7" o:spid="_x0000_s1031"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3061F6E1" w14:textId="77777777" w:rsidR="00293B9D" w:rsidRDefault="00293B9D">
                            <w:pPr>
                              <w:pStyle w:val="Pieddepage"/>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967A66A" w14:textId="048DB627" w:rsidR="00C76DF0" w:rsidRDefault="00C76D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2581" w14:textId="77777777" w:rsidR="0030246D" w:rsidRDefault="0030246D" w:rsidP="00C76DF0">
      <w:pPr>
        <w:spacing w:after="0" w:line="240" w:lineRule="auto"/>
      </w:pPr>
      <w:r>
        <w:separator/>
      </w:r>
    </w:p>
  </w:footnote>
  <w:footnote w:type="continuationSeparator" w:id="0">
    <w:p w14:paraId="59277F85" w14:textId="77777777" w:rsidR="0030246D" w:rsidRDefault="0030246D" w:rsidP="00C76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248"/>
    <w:multiLevelType w:val="multilevel"/>
    <w:tmpl w:val="C8E8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E1909"/>
    <w:multiLevelType w:val="hybridMultilevel"/>
    <w:tmpl w:val="AA843F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2637FA"/>
    <w:multiLevelType w:val="multilevel"/>
    <w:tmpl w:val="6412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F4EA7"/>
    <w:multiLevelType w:val="hybridMultilevel"/>
    <w:tmpl w:val="3E026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617CA6"/>
    <w:multiLevelType w:val="multilevel"/>
    <w:tmpl w:val="655A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D4051"/>
    <w:multiLevelType w:val="hybridMultilevel"/>
    <w:tmpl w:val="65E22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6422BC"/>
    <w:multiLevelType w:val="multilevel"/>
    <w:tmpl w:val="647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C7A2A"/>
    <w:multiLevelType w:val="multilevel"/>
    <w:tmpl w:val="E6E0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F4B20"/>
    <w:multiLevelType w:val="multilevel"/>
    <w:tmpl w:val="932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10664"/>
    <w:multiLevelType w:val="multilevel"/>
    <w:tmpl w:val="A196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B7359"/>
    <w:multiLevelType w:val="hybridMultilevel"/>
    <w:tmpl w:val="C984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F91946"/>
    <w:multiLevelType w:val="hybridMultilevel"/>
    <w:tmpl w:val="75F23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191D3A"/>
    <w:multiLevelType w:val="hybridMultilevel"/>
    <w:tmpl w:val="F022E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EE2466"/>
    <w:multiLevelType w:val="multilevel"/>
    <w:tmpl w:val="CB004E7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E17C8"/>
    <w:multiLevelType w:val="hybridMultilevel"/>
    <w:tmpl w:val="2CB20930"/>
    <w:lvl w:ilvl="0" w:tplc="CEFA0B8C">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36A46BC"/>
    <w:multiLevelType w:val="multilevel"/>
    <w:tmpl w:val="9A1EEE7C"/>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86287"/>
    <w:multiLevelType w:val="hybridMultilevel"/>
    <w:tmpl w:val="4F8C3F00"/>
    <w:lvl w:ilvl="0" w:tplc="CEFA0B8C">
      <w:numFmt w:val="bullet"/>
      <w:lvlText w:val="-"/>
      <w:lvlJc w:val="left"/>
      <w:pPr>
        <w:ind w:left="785" w:hanging="360"/>
      </w:pPr>
      <w:rPr>
        <w:rFonts w:ascii="Calibri" w:eastAsiaTheme="minorHAnsi" w:hAnsi="Calibri" w:cstheme="minorBidi"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7" w15:restartNumberingAfterBreak="0">
    <w:nsid w:val="241D22A6"/>
    <w:multiLevelType w:val="multilevel"/>
    <w:tmpl w:val="A49201F2"/>
    <w:lvl w:ilvl="0">
      <w:start w:val="1"/>
      <w:numFmt w:val="bullet"/>
      <w:lvlText w:val="­"/>
      <w:lvlJc w:val="left"/>
      <w:pPr>
        <w:tabs>
          <w:tab w:val="num" w:pos="720"/>
        </w:tabs>
        <w:ind w:left="720" w:hanging="360"/>
      </w:pPr>
      <w:rPr>
        <w:rFonts w:ascii="Arial" w:hAnsi="Aria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E55DC"/>
    <w:multiLevelType w:val="multilevel"/>
    <w:tmpl w:val="663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F3304"/>
    <w:multiLevelType w:val="multilevel"/>
    <w:tmpl w:val="C528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72E7B"/>
    <w:multiLevelType w:val="multilevel"/>
    <w:tmpl w:val="9E6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3979F5"/>
    <w:multiLevelType w:val="multilevel"/>
    <w:tmpl w:val="D88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A193A"/>
    <w:multiLevelType w:val="multilevel"/>
    <w:tmpl w:val="13B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6D16EA"/>
    <w:multiLevelType w:val="hybridMultilevel"/>
    <w:tmpl w:val="771287EC"/>
    <w:lvl w:ilvl="0" w:tplc="CEFA0B8C">
      <w:numFmt w:val="bullet"/>
      <w:lvlText w:val="-"/>
      <w:lvlJc w:val="left"/>
      <w:pPr>
        <w:ind w:left="720" w:hanging="360"/>
      </w:pPr>
      <w:rPr>
        <w:rFonts w:ascii="Calibri" w:eastAsiaTheme="minorHAnsi" w:hAnsi="Calibri" w:cstheme="minorBidi" w:hint="default"/>
        <w:b w:val="0"/>
        <w:i w:val="0"/>
        <w:strike w:val="0"/>
        <w:dstrike w:val="0"/>
        <w:color w:val="000000"/>
        <w:sz w:val="26"/>
        <w:szCs w:val="2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BE524F"/>
    <w:multiLevelType w:val="hybridMultilevel"/>
    <w:tmpl w:val="BB820646"/>
    <w:lvl w:ilvl="0" w:tplc="1F74FD58">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2E25702"/>
    <w:multiLevelType w:val="multilevel"/>
    <w:tmpl w:val="3E9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C32C5"/>
    <w:multiLevelType w:val="multilevel"/>
    <w:tmpl w:val="C05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524CA"/>
    <w:multiLevelType w:val="hybridMultilevel"/>
    <w:tmpl w:val="3444A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4F139B9"/>
    <w:multiLevelType w:val="multilevel"/>
    <w:tmpl w:val="5BD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F83F67"/>
    <w:multiLevelType w:val="multilevel"/>
    <w:tmpl w:val="D66EC69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0707A6"/>
    <w:multiLevelType w:val="hybridMultilevel"/>
    <w:tmpl w:val="35D48E4A"/>
    <w:lvl w:ilvl="0" w:tplc="870C49B2">
      <w:numFmt w:val="bullet"/>
      <w:lvlText w:val="-"/>
      <w:lvlJc w:val="left"/>
      <w:pPr>
        <w:ind w:left="720" w:hanging="360"/>
      </w:pPr>
      <w:rPr>
        <w:rFonts w:ascii="Times New Roman" w:eastAsia="SimSu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81C4838"/>
    <w:multiLevelType w:val="hybridMultilevel"/>
    <w:tmpl w:val="C48222A8"/>
    <w:lvl w:ilvl="0" w:tplc="BF68A44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8637CC8"/>
    <w:multiLevelType w:val="multilevel"/>
    <w:tmpl w:val="08841706"/>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sz w:val="28"/>
      </w:rPr>
    </w:lvl>
    <w:lvl w:ilvl="2">
      <w:start w:val="1"/>
      <w:numFmt w:val="decimal"/>
      <w:isLgl/>
      <w:lvlText w:val="%1.%2.%3"/>
      <w:lvlJc w:val="left"/>
      <w:pPr>
        <w:ind w:left="720" w:hanging="720"/>
      </w:pPr>
      <w:rPr>
        <w:rFonts w:hint="default"/>
        <w:b/>
        <w:sz w:val="28"/>
      </w:rPr>
    </w:lvl>
    <w:lvl w:ilvl="3">
      <w:start w:val="1"/>
      <w:numFmt w:val="decimal"/>
      <w:isLgl/>
      <w:lvlText w:val="%1.%2.%3.%4"/>
      <w:lvlJc w:val="left"/>
      <w:pPr>
        <w:ind w:left="720" w:hanging="720"/>
      </w:pPr>
      <w:rPr>
        <w:rFonts w:hint="default"/>
        <w:b/>
        <w:sz w:val="28"/>
      </w:rPr>
    </w:lvl>
    <w:lvl w:ilvl="4">
      <w:start w:val="1"/>
      <w:numFmt w:val="decimal"/>
      <w:isLgl/>
      <w:lvlText w:val="%1.%2.%3.%4.%5"/>
      <w:lvlJc w:val="left"/>
      <w:pPr>
        <w:ind w:left="1080" w:hanging="1080"/>
      </w:pPr>
      <w:rPr>
        <w:rFonts w:hint="default"/>
        <w:b/>
        <w:sz w:val="28"/>
      </w:rPr>
    </w:lvl>
    <w:lvl w:ilvl="5">
      <w:start w:val="1"/>
      <w:numFmt w:val="decimal"/>
      <w:isLgl/>
      <w:lvlText w:val="%1.%2.%3.%4.%5.%6"/>
      <w:lvlJc w:val="left"/>
      <w:pPr>
        <w:ind w:left="1080" w:hanging="1080"/>
      </w:pPr>
      <w:rPr>
        <w:rFonts w:hint="default"/>
        <w:b/>
        <w:sz w:val="28"/>
      </w:rPr>
    </w:lvl>
    <w:lvl w:ilvl="6">
      <w:start w:val="1"/>
      <w:numFmt w:val="decimal"/>
      <w:isLgl/>
      <w:lvlText w:val="%1.%2.%3.%4.%5.%6.%7"/>
      <w:lvlJc w:val="left"/>
      <w:pPr>
        <w:ind w:left="1440" w:hanging="1440"/>
      </w:pPr>
      <w:rPr>
        <w:rFonts w:hint="default"/>
        <w:b/>
        <w:sz w:val="28"/>
      </w:rPr>
    </w:lvl>
    <w:lvl w:ilvl="7">
      <w:start w:val="1"/>
      <w:numFmt w:val="decimal"/>
      <w:isLgl/>
      <w:lvlText w:val="%1.%2.%3.%4.%5.%6.%7.%8"/>
      <w:lvlJc w:val="left"/>
      <w:pPr>
        <w:ind w:left="1440" w:hanging="1440"/>
      </w:pPr>
      <w:rPr>
        <w:rFonts w:hint="default"/>
        <w:b/>
        <w:sz w:val="28"/>
      </w:rPr>
    </w:lvl>
    <w:lvl w:ilvl="8">
      <w:start w:val="1"/>
      <w:numFmt w:val="decimal"/>
      <w:isLgl/>
      <w:lvlText w:val="%1.%2.%3.%4.%5.%6.%7.%8.%9"/>
      <w:lvlJc w:val="left"/>
      <w:pPr>
        <w:ind w:left="1800" w:hanging="1800"/>
      </w:pPr>
      <w:rPr>
        <w:rFonts w:hint="default"/>
        <w:b/>
        <w:sz w:val="28"/>
      </w:rPr>
    </w:lvl>
  </w:abstractNum>
  <w:abstractNum w:abstractNumId="33" w15:restartNumberingAfterBreak="0">
    <w:nsid w:val="39971A21"/>
    <w:multiLevelType w:val="hybridMultilevel"/>
    <w:tmpl w:val="575834F2"/>
    <w:lvl w:ilvl="0" w:tplc="4B50D2AA">
      <w:start w:val="4"/>
      <w:numFmt w:val="decimal"/>
      <w:lvlText w:val="%1."/>
      <w:lvlJc w:val="left"/>
      <w:pPr>
        <w:ind w:left="360"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4" w15:restartNumberingAfterBreak="0">
    <w:nsid w:val="39C04A25"/>
    <w:multiLevelType w:val="multilevel"/>
    <w:tmpl w:val="BD1A1B70"/>
    <w:lvl w:ilvl="0">
      <w:start w:val="1"/>
      <w:numFmt w:val="upperRoman"/>
      <w:lvlText w:val="%1."/>
      <w:lvlJc w:val="right"/>
      <w:pPr>
        <w:ind w:left="1013" w:hanging="360"/>
      </w:pPr>
      <w:rPr>
        <w:rFonts w:ascii="Arial" w:eastAsia="Times New Roman" w:hAnsi="Arial" w:cs="Arial"/>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isLgl/>
      <w:lvlText w:val="%1.%2"/>
      <w:lvlJc w:val="left"/>
      <w:pPr>
        <w:ind w:left="360"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97" w:hanging="1080"/>
      </w:pPr>
      <w:rPr>
        <w:rFonts w:hint="default"/>
      </w:rPr>
    </w:lvl>
    <w:lvl w:ilvl="5">
      <w:start w:val="1"/>
      <w:numFmt w:val="decimal"/>
      <w:isLgl/>
      <w:lvlText w:val="%1.%2.%3.%4.%5.%6"/>
      <w:lvlJc w:val="left"/>
      <w:pPr>
        <w:ind w:left="2063" w:hanging="1080"/>
      </w:pPr>
      <w:rPr>
        <w:rFonts w:hint="default"/>
      </w:rPr>
    </w:lvl>
    <w:lvl w:ilvl="6">
      <w:start w:val="1"/>
      <w:numFmt w:val="decimal"/>
      <w:isLgl/>
      <w:lvlText w:val="%1.%2.%3.%4.%5.%6.%7"/>
      <w:lvlJc w:val="left"/>
      <w:pPr>
        <w:ind w:left="2489" w:hanging="1440"/>
      </w:pPr>
      <w:rPr>
        <w:rFonts w:hint="default"/>
      </w:rPr>
    </w:lvl>
    <w:lvl w:ilvl="7">
      <w:start w:val="1"/>
      <w:numFmt w:val="decimal"/>
      <w:isLgl/>
      <w:lvlText w:val="%1.%2.%3.%4.%5.%6.%7.%8"/>
      <w:lvlJc w:val="left"/>
      <w:pPr>
        <w:ind w:left="2555" w:hanging="1440"/>
      </w:pPr>
      <w:rPr>
        <w:rFonts w:hint="default"/>
      </w:rPr>
    </w:lvl>
    <w:lvl w:ilvl="8">
      <w:start w:val="1"/>
      <w:numFmt w:val="decimal"/>
      <w:isLgl/>
      <w:lvlText w:val="%1.%2.%3.%4.%5.%6.%7.%8.%9"/>
      <w:lvlJc w:val="left"/>
      <w:pPr>
        <w:ind w:left="2981" w:hanging="1800"/>
      </w:pPr>
      <w:rPr>
        <w:rFonts w:hint="default"/>
      </w:rPr>
    </w:lvl>
  </w:abstractNum>
  <w:abstractNum w:abstractNumId="35" w15:restartNumberingAfterBreak="0">
    <w:nsid w:val="39FC494F"/>
    <w:multiLevelType w:val="multilevel"/>
    <w:tmpl w:val="5150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D505A2"/>
    <w:multiLevelType w:val="hybridMultilevel"/>
    <w:tmpl w:val="648CCC60"/>
    <w:lvl w:ilvl="0" w:tplc="86F629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D094753"/>
    <w:multiLevelType w:val="multilevel"/>
    <w:tmpl w:val="E40C3EAE"/>
    <w:lvl w:ilvl="0">
      <w:start w:val="1"/>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3E0C06C0"/>
    <w:multiLevelType w:val="multilevel"/>
    <w:tmpl w:val="6782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333B0"/>
    <w:multiLevelType w:val="multilevel"/>
    <w:tmpl w:val="63B4858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A670EA"/>
    <w:multiLevelType w:val="hybridMultilevel"/>
    <w:tmpl w:val="B25856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19B11C0"/>
    <w:multiLevelType w:val="multilevel"/>
    <w:tmpl w:val="6DFE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EF616F"/>
    <w:multiLevelType w:val="multilevel"/>
    <w:tmpl w:val="76DC2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5B18C4"/>
    <w:multiLevelType w:val="hybridMultilevel"/>
    <w:tmpl w:val="78F030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489C4F3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8BC079E"/>
    <w:multiLevelType w:val="multilevel"/>
    <w:tmpl w:val="F7B0B326"/>
    <w:lvl w:ilvl="0">
      <w:numFmt w:val="bullet"/>
      <w:lvlText w:val="•"/>
      <w:lvlJc w:val="left"/>
      <w:pPr>
        <w:tabs>
          <w:tab w:val="num" w:pos="720"/>
        </w:tabs>
        <w:ind w:left="720" w:hanging="360"/>
      </w:pPr>
      <w:rPr>
        <w:rFonts w:ascii="Times New Roman" w:hAnsi="Times New Roman" w:hint="default"/>
        <w:b w:val="0"/>
        <w:i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060A5A"/>
    <w:multiLevelType w:val="hybridMultilevel"/>
    <w:tmpl w:val="9354AACA"/>
    <w:lvl w:ilvl="0" w:tplc="870C49B2">
      <w:numFmt w:val="bullet"/>
      <w:lvlText w:val="-"/>
      <w:lvlJc w:val="left"/>
      <w:pPr>
        <w:ind w:left="720" w:hanging="360"/>
      </w:pPr>
      <w:rPr>
        <w:rFonts w:ascii="Times New Roman" w:eastAsia="SimSu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D8F2FB9"/>
    <w:multiLevelType w:val="multilevel"/>
    <w:tmpl w:val="14C0539E"/>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EF30F0D"/>
    <w:multiLevelType w:val="multilevel"/>
    <w:tmpl w:val="F9AE4D54"/>
    <w:lvl w:ilvl="0">
      <w:start w:val="1"/>
      <w:numFmt w:val="bullet"/>
      <w:lvlText w:val=""/>
      <w:lvlJc w:val="left"/>
      <w:pPr>
        <w:ind w:left="720" w:hanging="360"/>
      </w:pPr>
      <w:rPr>
        <w:rFonts w:ascii="Symbol" w:hAnsi="Symbol" w:hint="default"/>
      </w:rPr>
    </w:lvl>
    <w:lvl w:ilvl="1">
      <w:start w:val="4"/>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9" w15:restartNumberingAfterBreak="0">
    <w:nsid w:val="4FC86A69"/>
    <w:multiLevelType w:val="multilevel"/>
    <w:tmpl w:val="BB54FF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644"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EB3E72"/>
    <w:multiLevelType w:val="hybridMultilevel"/>
    <w:tmpl w:val="A1E68394"/>
    <w:lvl w:ilvl="0" w:tplc="7128693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0127A1D"/>
    <w:multiLevelType w:val="multilevel"/>
    <w:tmpl w:val="1E2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261A9C"/>
    <w:multiLevelType w:val="hybridMultilevel"/>
    <w:tmpl w:val="30581BB8"/>
    <w:lvl w:ilvl="0" w:tplc="CEFA0B8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53A076DF"/>
    <w:multiLevelType w:val="hybridMultilevel"/>
    <w:tmpl w:val="1AC8C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5AD241B"/>
    <w:multiLevelType w:val="hybridMultilevel"/>
    <w:tmpl w:val="8022159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55" w15:restartNumberingAfterBreak="0">
    <w:nsid w:val="55D9339B"/>
    <w:multiLevelType w:val="multilevel"/>
    <w:tmpl w:val="E682CEC6"/>
    <w:lvl w:ilvl="0">
      <w:start w:val="1"/>
      <w:numFmt w:val="decimal"/>
      <w:lvlText w:val="%1."/>
      <w:lvlJc w:val="left"/>
      <w:pPr>
        <w:ind w:left="720" w:hanging="360"/>
      </w:pPr>
      <w:rPr>
        <w:rFonts w:hint="default"/>
        <w:color w:val="000099"/>
      </w:rPr>
    </w:lvl>
    <w:lvl w:ilvl="1">
      <w:start w:val="4"/>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6" w15:restartNumberingAfterBreak="0">
    <w:nsid w:val="57C315F0"/>
    <w:multiLevelType w:val="hybridMultilevel"/>
    <w:tmpl w:val="8B3E5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8335573"/>
    <w:multiLevelType w:val="hybridMultilevel"/>
    <w:tmpl w:val="799278CA"/>
    <w:lvl w:ilvl="0" w:tplc="9C88AAF8">
      <w:start w:val="6"/>
      <w:numFmt w:val="bullet"/>
      <w:lvlText w:val="-"/>
      <w:lvlJc w:val="left"/>
      <w:pPr>
        <w:ind w:left="785" w:hanging="360"/>
      </w:pPr>
      <w:rPr>
        <w:rFonts w:ascii="Times New Roman" w:eastAsiaTheme="minorHAnsi" w:hAnsi="Times New Roman"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8" w15:restartNumberingAfterBreak="0">
    <w:nsid w:val="58C36EA6"/>
    <w:multiLevelType w:val="hybridMultilevel"/>
    <w:tmpl w:val="60DC6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A5B1507"/>
    <w:multiLevelType w:val="hybridMultilevel"/>
    <w:tmpl w:val="E294E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B7E2F7D"/>
    <w:multiLevelType w:val="multilevel"/>
    <w:tmpl w:val="F068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AD5147"/>
    <w:multiLevelType w:val="multilevel"/>
    <w:tmpl w:val="8C6698A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660C6D"/>
    <w:multiLevelType w:val="multilevel"/>
    <w:tmpl w:val="D83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DF2986"/>
    <w:multiLevelType w:val="hybridMultilevel"/>
    <w:tmpl w:val="4336E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01966B5"/>
    <w:multiLevelType w:val="multilevel"/>
    <w:tmpl w:val="E66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963804"/>
    <w:multiLevelType w:val="multilevel"/>
    <w:tmpl w:val="0BF28704"/>
    <w:lvl w:ilvl="0">
      <w:start w:val="1"/>
      <w:numFmt w:val="bullet"/>
      <w:lvlText w:val="­"/>
      <w:lvlJc w:val="left"/>
      <w:pPr>
        <w:tabs>
          <w:tab w:val="num" w:pos="720"/>
        </w:tabs>
        <w:ind w:left="720" w:hanging="360"/>
      </w:pPr>
      <w:rPr>
        <w:rFonts w:ascii="Arial" w:hAnsi="Aria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E52102"/>
    <w:multiLevelType w:val="hybridMultilevel"/>
    <w:tmpl w:val="0C50CC64"/>
    <w:lvl w:ilvl="0" w:tplc="CEFA0B8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15:restartNumberingAfterBreak="0">
    <w:nsid w:val="65012472"/>
    <w:multiLevelType w:val="multilevel"/>
    <w:tmpl w:val="DD30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772959"/>
    <w:multiLevelType w:val="hybridMultilevel"/>
    <w:tmpl w:val="F47AA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69FC2C76"/>
    <w:multiLevelType w:val="multilevel"/>
    <w:tmpl w:val="EF68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BC49D5"/>
    <w:multiLevelType w:val="hybridMultilevel"/>
    <w:tmpl w:val="BF98BF52"/>
    <w:lvl w:ilvl="0" w:tplc="1D884F56">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1" w15:restartNumberingAfterBreak="0">
    <w:nsid w:val="6DCE593E"/>
    <w:multiLevelType w:val="multilevel"/>
    <w:tmpl w:val="BB2E5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FFC6D3B"/>
    <w:multiLevelType w:val="multilevel"/>
    <w:tmpl w:val="7D7E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8D51A3"/>
    <w:multiLevelType w:val="hybridMultilevel"/>
    <w:tmpl w:val="5C34CF56"/>
    <w:lvl w:ilvl="0" w:tplc="CEFA0B8C">
      <w:numFmt w:val="bullet"/>
      <w:lvlText w:val="-"/>
      <w:lvlJc w:val="left"/>
      <w:pPr>
        <w:ind w:left="785" w:hanging="360"/>
      </w:pPr>
      <w:rPr>
        <w:rFonts w:ascii="Calibri" w:eastAsiaTheme="minorHAnsi" w:hAnsi="Calibri" w:cstheme="minorBidi"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4C62635"/>
    <w:multiLevelType w:val="hybridMultilevel"/>
    <w:tmpl w:val="C7905A7C"/>
    <w:lvl w:ilvl="0" w:tplc="A522ADD2">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753955FB"/>
    <w:multiLevelType w:val="multilevel"/>
    <w:tmpl w:val="9EB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8A12E4"/>
    <w:multiLevelType w:val="multilevel"/>
    <w:tmpl w:val="B836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EA51E5"/>
    <w:multiLevelType w:val="multilevel"/>
    <w:tmpl w:val="0D38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8D5DA9"/>
    <w:multiLevelType w:val="multilevel"/>
    <w:tmpl w:val="C73E15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78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FD2011"/>
    <w:multiLevelType w:val="hybridMultilevel"/>
    <w:tmpl w:val="9D1CEC04"/>
    <w:lvl w:ilvl="0" w:tplc="CE52DD0E">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7E1F2F0B"/>
    <w:multiLevelType w:val="multilevel"/>
    <w:tmpl w:val="D65293D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E8A35EF"/>
    <w:multiLevelType w:val="multilevel"/>
    <w:tmpl w:val="B54E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301136">
    <w:abstractNumId w:val="8"/>
  </w:num>
  <w:num w:numId="2" w16cid:durableId="1928953849">
    <w:abstractNumId w:val="4"/>
  </w:num>
  <w:num w:numId="3" w16cid:durableId="787503390">
    <w:abstractNumId w:val="39"/>
  </w:num>
  <w:num w:numId="4" w16cid:durableId="1713963514">
    <w:abstractNumId w:val="20"/>
  </w:num>
  <w:num w:numId="5" w16cid:durableId="596408237">
    <w:abstractNumId w:val="6"/>
  </w:num>
  <w:num w:numId="6" w16cid:durableId="809594565">
    <w:abstractNumId w:val="0"/>
  </w:num>
  <w:num w:numId="7" w16cid:durableId="1042369268">
    <w:abstractNumId w:val="60"/>
  </w:num>
  <w:num w:numId="8" w16cid:durableId="716858679">
    <w:abstractNumId w:val="36"/>
  </w:num>
  <w:num w:numId="9" w16cid:durableId="774907163">
    <w:abstractNumId w:val="33"/>
  </w:num>
  <w:num w:numId="10" w16cid:durableId="422454695">
    <w:abstractNumId w:val="32"/>
  </w:num>
  <w:num w:numId="11" w16cid:durableId="34350330">
    <w:abstractNumId w:val="42"/>
  </w:num>
  <w:num w:numId="12" w16cid:durableId="1500345604">
    <w:abstractNumId w:val="45"/>
  </w:num>
  <w:num w:numId="13" w16cid:durableId="1725907621">
    <w:abstractNumId w:val="31"/>
  </w:num>
  <w:num w:numId="14" w16cid:durableId="966163262">
    <w:abstractNumId w:val="48"/>
  </w:num>
  <w:num w:numId="15" w16cid:durableId="2047946006">
    <w:abstractNumId w:val="55"/>
  </w:num>
  <w:num w:numId="16" w16cid:durableId="1042940690">
    <w:abstractNumId w:val="24"/>
  </w:num>
  <w:num w:numId="17" w16cid:durableId="1989935325">
    <w:abstractNumId w:val="74"/>
  </w:num>
  <w:num w:numId="18" w16cid:durableId="425542499">
    <w:abstractNumId w:val="67"/>
  </w:num>
  <w:num w:numId="19" w16cid:durableId="1985617994">
    <w:abstractNumId w:val="28"/>
  </w:num>
  <w:num w:numId="20" w16cid:durableId="1749501776">
    <w:abstractNumId w:val="19"/>
  </w:num>
  <w:num w:numId="21" w16cid:durableId="721249793">
    <w:abstractNumId w:val="41"/>
  </w:num>
  <w:num w:numId="22" w16cid:durableId="64374162">
    <w:abstractNumId w:val="51"/>
  </w:num>
  <w:num w:numId="23" w16cid:durableId="1721202015">
    <w:abstractNumId w:val="50"/>
  </w:num>
  <w:num w:numId="24" w16cid:durableId="1430851800">
    <w:abstractNumId w:val="70"/>
  </w:num>
  <w:num w:numId="25" w16cid:durableId="964963472">
    <w:abstractNumId w:val="44"/>
  </w:num>
  <w:num w:numId="26" w16cid:durableId="134026546">
    <w:abstractNumId w:val="54"/>
  </w:num>
  <w:num w:numId="27" w16cid:durableId="1231043769">
    <w:abstractNumId w:val="43"/>
  </w:num>
  <w:num w:numId="28" w16cid:durableId="1307929335">
    <w:abstractNumId w:val="40"/>
  </w:num>
  <w:num w:numId="29" w16cid:durableId="2047753002">
    <w:abstractNumId w:val="37"/>
  </w:num>
  <w:num w:numId="30" w16cid:durableId="782308546">
    <w:abstractNumId w:val="1"/>
  </w:num>
  <w:num w:numId="31" w16cid:durableId="158271247">
    <w:abstractNumId w:val="30"/>
  </w:num>
  <w:num w:numId="32" w16cid:durableId="583146908">
    <w:abstractNumId w:val="46"/>
  </w:num>
  <w:num w:numId="33" w16cid:durableId="1980115009">
    <w:abstractNumId w:val="34"/>
  </w:num>
  <w:num w:numId="34" w16cid:durableId="749960419">
    <w:abstractNumId w:val="15"/>
  </w:num>
  <w:num w:numId="35" w16cid:durableId="655303427">
    <w:abstractNumId w:val="49"/>
  </w:num>
  <w:num w:numId="36" w16cid:durableId="622152585">
    <w:abstractNumId w:val="13"/>
  </w:num>
  <w:num w:numId="37" w16cid:durableId="388463346">
    <w:abstractNumId w:val="65"/>
  </w:num>
  <w:num w:numId="38" w16cid:durableId="571082150">
    <w:abstractNumId w:val="17"/>
  </w:num>
  <w:num w:numId="39" w16cid:durableId="280960250">
    <w:abstractNumId w:val="57"/>
  </w:num>
  <w:num w:numId="40" w16cid:durableId="1229993530">
    <w:abstractNumId w:val="78"/>
  </w:num>
  <w:num w:numId="41" w16cid:durableId="146211170">
    <w:abstractNumId w:val="47"/>
  </w:num>
  <w:num w:numId="42" w16cid:durableId="572004605">
    <w:abstractNumId w:val="14"/>
  </w:num>
  <w:num w:numId="43" w16cid:durableId="892157038">
    <w:abstractNumId w:val="76"/>
  </w:num>
  <w:num w:numId="44" w16cid:durableId="134419933">
    <w:abstractNumId w:val="73"/>
  </w:num>
  <w:num w:numId="45" w16cid:durableId="1366442098">
    <w:abstractNumId w:val="16"/>
  </w:num>
  <w:num w:numId="46" w16cid:durableId="1026910049">
    <w:abstractNumId w:val="52"/>
  </w:num>
  <w:num w:numId="47" w16cid:durableId="1326084426">
    <w:abstractNumId w:val="71"/>
  </w:num>
  <w:num w:numId="48" w16cid:durableId="632296505">
    <w:abstractNumId w:val="66"/>
  </w:num>
  <w:num w:numId="49" w16cid:durableId="177813080">
    <w:abstractNumId w:val="23"/>
  </w:num>
  <w:num w:numId="50" w16cid:durableId="157304272">
    <w:abstractNumId w:val="80"/>
  </w:num>
  <w:num w:numId="51" w16cid:durableId="2010399501">
    <w:abstractNumId w:val="61"/>
  </w:num>
  <w:num w:numId="52" w16cid:durableId="2100905833">
    <w:abstractNumId w:val="29"/>
  </w:num>
  <w:num w:numId="53" w16cid:durableId="504587585">
    <w:abstractNumId w:val="79"/>
  </w:num>
  <w:num w:numId="54" w16cid:durableId="1909269918">
    <w:abstractNumId w:val="53"/>
  </w:num>
  <w:num w:numId="55" w16cid:durableId="619533914">
    <w:abstractNumId w:val="3"/>
  </w:num>
  <w:num w:numId="56" w16cid:durableId="2101170993">
    <w:abstractNumId w:val="58"/>
  </w:num>
  <w:num w:numId="57" w16cid:durableId="1130132491">
    <w:abstractNumId w:val="11"/>
  </w:num>
  <w:num w:numId="58" w16cid:durableId="1617716529">
    <w:abstractNumId w:val="56"/>
  </w:num>
  <w:num w:numId="59" w16cid:durableId="321856049">
    <w:abstractNumId w:val="59"/>
  </w:num>
  <w:num w:numId="60" w16cid:durableId="830024632">
    <w:abstractNumId w:val="68"/>
  </w:num>
  <w:num w:numId="61" w16cid:durableId="903875669">
    <w:abstractNumId w:val="63"/>
  </w:num>
  <w:num w:numId="62" w16cid:durableId="225801347">
    <w:abstractNumId w:val="2"/>
  </w:num>
  <w:num w:numId="63" w16cid:durableId="1109860136">
    <w:abstractNumId w:val="69"/>
  </w:num>
  <w:num w:numId="64" w16cid:durableId="929312019">
    <w:abstractNumId w:val="72"/>
  </w:num>
  <w:num w:numId="65" w16cid:durableId="1134828870">
    <w:abstractNumId w:val="35"/>
  </w:num>
  <w:num w:numId="66" w16cid:durableId="606932650">
    <w:abstractNumId w:val="75"/>
  </w:num>
  <w:num w:numId="67" w16cid:durableId="1908958515">
    <w:abstractNumId w:val="81"/>
  </w:num>
  <w:num w:numId="68" w16cid:durableId="1209219001">
    <w:abstractNumId w:val="77"/>
  </w:num>
  <w:num w:numId="69" w16cid:durableId="58215668">
    <w:abstractNumId w:val="25"/>
  </w:num>
  <w:num w:numId="70" w16cid:durableId="668796182">
    <w:abstractNumId w:val="62"/>
  </w:num>
  <w:num w:numId="71" w16cid:durableId="1525971817">
    <w:abstractNumId w:val="7"/>
  </w:num>
  <w:num w:numId="72" w16cid:durableId="305472772">
    <w:abstractNumId w:val="38"/>
  </w:num>
  <w:num w:numId="73" w16cid:durableId="973755730">
    <w:abstractNumId w:val="18"/>
  </w:num>
  <w:num w:numId="74" w16cid:durableId="1243375093">
    <w:abstractNumId w:val="64"/>
  </w:num>
  <w:num w:numId="75" w16cid:durableId="1800799162">
    <w:abstractNumId w:val="26"/>
  </w:num>
  <w:num w:numId="76" w16cid:durableId="421223240">
    <w:abstractNumId w:val="9"/>
  </w:num>
  <w:num w:numId="77" w16cid:durableId="773011683">
    <w:abstractNumId w:val="21"/>
  </w:num>
  <w:num w:numId="78" w16cid:durableId="1603948681">
    <w:abstractNumId w:val="22"/>
  </w:num>
  <w:num w:numId="79" w16cid:durableId="1060639071">
    <w:abstractNumId w:val="12"/>
  </w:num>
  <w:num w:numId="80" w16cid:durableId="487357244">
    <w:abstractNumId w:val="5"/>
  </w:num>
  <w:num w:numId="81" w16cid:durableId="623196414">
    <w:abstractNumId w:val="27"/>
  </w:num>
  <w:num w:numId="82" w16cid:durableId="995190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02"/>
    <w:rsid w:val="000033AB"/>
    <w:rsid w:val="000302B9"/>
    <w:rsid w:val="00032FCC"/>
    <w:rsid w:val="00050D4C"/>
    <w:rsid w:val="00052656"/>
    <w:rsid w:val="0005442F"/>
    <w:rsid w:val="0006154E"/>
    <w:rsid w:val="000620C1"/>
    <w:rsid w:val="00073ED2"/>
    <w:rsid w:val="00080589"/>
    <w:rsid w:val="0008072B"/>
    <w:rsid w:val="0008779A"/>
    <w:rsid w:val="000B6763"/>
    <w:rsid w:val="000C59EA"/>
    <w:rsid w:val="000D3344"/>
    <w:rsid w:val="000E36C5"/>
    <w:rsid w:val="000F262A"/>
    <w:rsid w:val="000F3A02"/>
    <w:rsid w:val="00102723"/>
    <w:rsid w:val="001072D7"/>
    <w:rsid w:val="001109A5"/>
    <w:rsid w:val="00120727"/>
    <w:rsid w:val="00121BC5"/>
    <w:rsid w:val="001523AA"/>
    <w:rsid w:val="001812A6"/>
    <w:rsid w:val="00197A8A"/>
    <w:rsid w:val="001B2E45"/>
    <w:rsid w:val="001B5450"/>
    <w:rsid w:val="001F484A"/>
    <w:rsid w:val="00200D1A"/>
    <w:rsid w:val="00211135"/>
    <w:rsid w:val="00213D05"/>
    <w:rsid w:val="002250E7"/>
    <w:rsid w:val="002266F1"/>
    <w:rsid w:val="00230395"/>
    <w:rsid w:val="0023351B"/>
    <w:rsid w:val="00233790"/>
    <w:rsid w:val="00265C77"/>
    <w:rsid w:val="00286E51"/>
    <w:rsid w:val="00293B9D"/>
    <w:rsid w:val="002C0DE4"/>
    <w:rsid w:val="002C68B4"/>
    <w:rsid w:val="002E71EF"/>
    <w:rsid w:val="002E7ECA"/>
    <w:rsid w:val="002F3212"/>
    <w:rsid w:val="0030246D"/>
    <w:rsid w:val="00303593"/>
    <w:rsid w:val="00324748"/>
    <w:rsid w:val="00335A51"/>
    <w:rsid w:val="00344F7E"/>
    <w:rsid w:val="00347B48"/>
    <w:rsid w:val="00360769"/>
    <w:rsid w:val="00380F6C"/>
    <w:rsid w:val="00382E28"/>
    <w:rsid w:val="00383DAC"/>
    <w:rsid w:val="0038405D"/>
    <w:rsid w:val="00385C7D"/>
    <w:rsid w:val="003A168F"/>
    <w:rsid w:val="003A6979"/>
    <w:rsid w:val="003B4BAE"/>
    <w:rsid w:val="003B5B91"/>
    <w:rsid w:val="003B5D27"/>
    <w:rsid w:val="003C4585"/>
    <w:rsid w:val="003C6F98"/>
    <w:rsid w:val="003D2A57"/>
    <w:rsid w:val="003D7ABE"/>
    <w:rsid w:val="003E7109"/>
    <w:rsid w:val="003E7D50"/>
    <w:rsid w:val="00407DFD"/>
    <w:rsid w:val="0041122D"/>
    <w:rsid w:val="00426609"/>
    <w:rsid w:val="004513FE"/>
    <w:rsid w:val="00451C83"/>
    <w:rsid w:val="004614A6"/>
    <w:rsid w:val="00472B16"/>
    <w:rsid w:val="004B2DEF"/>
    <w:rsid w:val="004D57AC"/>
    <w:rsid w:val="004E0C0C"/>
    <w:rsid w:val="004E1C6A"/>
    <w:rsid w:val="004E3DCC"/>
    <w:rsid w:val="00511D16"/>
    <w:rsid w:val="00533BB6"/>
    <w:rsid w:val="005362EB"/>
    <w:rsid w:val="00551563"/>
    <w:rsid w:val="005562A4"/>
    <w:rsid w:val="00582188"/>
    <w:rsid w:val="00584786"/>
    <w:rsid w:val="00593CA8"/>
    <w:rsid w:val="005A729D"/>
    <w:rsid w:val="005B3FB4"/>
    <w:rsid w:val="005B6724"/>
    <w:rsid w:val="005C4873"/>
    <w:rsid w:val="005D7630"/>
    <w:rsid w:val="005F35D6"/>
    <w:rsid w:val="005F7E2E"/>
    <w:rsid w:val="00612B79"/>
    <w:rsid w:val="006165EA"/>
    <w:rsid w:val="00626116"/>
    <w:rsid w:val="006572AD"/>
    <w:rsid w:val="006705B2"/>
    <w:rsid w:val="00685695"/>
    <w:rsid w:val="00693126"/>
    <w:rsid w:val="0069725D"/>
    <w:rsid w:val="006A3CE6"/>
    <w:rsid w:val="006A4B47"/>
    <w:rsid w:val="006B5686"/>
    <w:rsid w:val="006B5895"/>
    <w:rsid w:val="006C2DD9"/>
    <w:rsid w:val="006F3A96"/>
    <w:rsid w:val="006F77D3"/>
    <w:rsid w:val="00734E2F"/>
    <w:rsid w:val="0073652B"/>
    <w:rsid w:val="00737654"/>
    <w:rsid w:val="0074649F"/>
    <w:rsid w:val="007569A7"/>
    <w:rsid w:val="007602C7"/>
    <w:rsid w:val="007665C6"/>
    <w:rsid w:val="0078103C"/>
    <w:rsid w:val="00787E04"/>
    <w:rsid w:val="007902CB"/>
    <w:rsid w:val="00796136"/>
    <w:rsid w:val="00796C56"/>
    <w:rsid w:val="007B5D9A"/>
    <w:rsid w:val="007C751D"/>
    <w:rsid w:val="007E74D9"/>
    <w:rsid w:val="00815AF5"/>
    <w:rsid w:val="00816446"/>
    <w:rsid w:val="00816C86"/>
    <w:rsid w:val="0082434F"/>
    <w:rsid w:val="00847409"/>
    <w:rsid w:val="00850DEF"/>
    <w:rsid w:val="00851CE5"/>
    <w:rsid w:val="0085294D"/>
    <w:rsid w:val="008628C3"/>
    <w:rsid w:val="008675A3"/>
    <w:rsid w:val="00894704"/>
    <w:rsid w:val="00894CC8"/>
    <w:rsid w:val="008A06F8"/>
    <w:rsid w:val="008A57A5"/>
    <w:rsid w:val="008C2172"/>
    <w:rsid w:val="008C4106"/>
    <w:rsid w:val="008D7F0E"/>
    <w:rsid w:val="008E1F84"/>
    <w:rsid w:val="008E6161"/>
    <w:rsid w:val="009141CF"/>
    <w:rsid w:val="00917737"/>
    <w:rsid w:val="00922376"/>
    <w:rsid w:val="00922A21"/>
    <w:rsid w:val="00924036"/>
    <w:rsid w:val="0093456E"/>
    <w:rsid w:val="0093640C"/>
    <w:rsid w:val="00953A2C"/>
    <w:rsid w:val="0095427C"/>
    <w:rsid w:val="00960629"/>
    <w:rsid w:val="00980C34"/>
    <w:rsid w:val="00993D65"/>
    <w:rsid w:val="009A0C4A"/>
    <w:rsid w:val="009B269E"/>
    <w:rsid w:val="009B7DF5"/>
    <w:rsid w:val="009C3094"/>
    <w:rsid w:val="009C3B1E"/>
    <w:rsid w:val="009C63C1"/>
    <w:rsid w:val="009C6AB2"/>
    <w:rsid w:val="009D290A"/>
    <w:rsid w:val="009D47A0"/>
    <w:rsid w:val="009F64B3"/>
    <w:rsid w:val="00A04BD6"/>
    <w:rsid w:val="00A10233"/>
    <w:rsid w:val="00A13DBD"/>
    <w:rsid w:val="00A22380"/>
    <w:rsid w:val="00A22A6B"/>
    <w:rsid w:val="00A23BDF"/>
    <w:rsid w:val="00A249CF"/>
    <w:rsid w:val="00A24BD7"/>
    <w:rsid w:val="00A50A3D"/>
    <w:rsid w:val="00A521F1"/>
    <w:rsid w:val="00A737FD"/>
    <w:rsid w:val="00A73F78"/>
    <w:rsid w:val="00A748BB"/>
    <w:rsid w:val="00A85A99"/>
    <w:rsid w:val="00A901A2"/>
    <w:rsid w:val="00AA2183"/>
    <w:rsid w:val="00AB5E43"/>
    <w:rsid w:val="00AC6F7E"/>
    <w:rsid w:val="00AC73FE"/>
    <w:rsid w:val="00AD3C4F"/>
    <w:rsid w:val="00AE4373"/>
    <w:rsid w:val="00AF3E8D"/>
    <w:rsid w:val="00B2686A"/>
    <w:rsid w:val="00B35B45"/>
    <w:rsid w:val="00B424C2"/>
    <w:rsid w:val="00B512BF"/>
    <w:rsid w:val="00B60FAC"/>
    <w:rsid w:val="00B62B4B"/>
    <w:rsid w:val="00B7515E"/>
    <w:rsid w:val="00B8508A"/>
    <w:rsid w:val="00B860DB"/>
    <w:rsid w:val="00B922B8"/>
    <w:rsid w:val="00B96C1B"/>
    <w:rsid w:val="00BA09C1"/>
    <w:rsid w:val="00BC5242"/>
    <w:rsid w:val="00BE0678"/>
    <w:rsid w:val="00C10B0E"/>
    <w:rsid w:val="00C17679"/>
    <w:rsid w:val="00C302BA"/>
    <w:rsid w:val="00C346B5"/>
    <w:rsid w:val="00C3699D"/>
    <w:rsid w:val="00C40BF3"/>
    <w:rsid w:val="00C52D4A"/>
    <w:rsid w:val="00C60D9C"/>
    <w:rsid w:val="00C66EEA"/>
    <w:rsid w:val="00C678D7"/>
    <w:rsid w:val="00C733B2"/>
    <w:rsid w:val="00C764E2"/>
    <w:rsid w:val="00C76DF0"/>
    <w:rsid w:val="00C832C6"/>
    <w:rsid w:val="00CA4C7F"/>
    <w:rsid w:val="00CD2B16"/>
    <w:rsid w:val="00CD40AD"/>
    <w:rsid w:val="00CD4811"/>
    <w:rsid w:val="00CE5401"/>
    <w:rsid w:val="00CF1E99"/>
    <w:rsid w:val="00D03E20"/>
    <w:rsid w:val="00D1395D"/>
    <w:rsid w:val="00D13CAF"/>
    <w:rsid w:val="00D17FAA"/>
    <w:rsid w:val="00D2612C"/>
    <w:rsid w:val="00D34C7D"/>
    <w:rsid w:val="00D42BE2"/>
    <w:rsid w:val="00D7739D"/>
    <w:rsid w:val="00DA4C6D"/>
    <w:rsid w:val="00DA78EF"/>
    <w:rsid w:val="00DB1863"/>
    <w:rsid w:val="00DC44E1"/>
    <w:rsid w:val="00DC469B"/>
    <w:rsid w:val="00DC52B1"/>
    <w:rsid w:val="00DC5AAD"/>
    <w:rsid w:val="00DF5018"/>
    <w:rsid w:val="00DF50A7"/>
    <w:rsid w:val="00E01727"/>
    <w:rsid w:val="00E1355E"/>
    <w:rsid w:val="00E14F43"/>
    <w:rsid w:val="00E21B92"/>
    <w:rsid w:val="00E53AAD"/>
    <w:rsid w:val="00E61926"/>
    <w:rsid w:val="00E8323B"/>
    <w:rsid w:val="00E957A8"/>
    <w:rsid w:val="00E95C6C"/>
    <w:rsid w:val="00EA0743"/>
    <w:rsid w:val="00EA1C11"/>
    <w:rsid w:val="00EC4B41"/>
    <w:rsid w:val="00EE4A42"/>
    <w:rsid w:val="00EE529C"/>
    <w:rsid w:val="00EE7A17"/>
    <w:rsid w:val="00EF7BA0"/>
    <w:rsid w:val="00F0615F"/>
    <w:rsid w:val="00F2146C"/>
    <w:rsid w:val="00F21A05"/>
    <w:rsid w:val="00F22EA8"/>
    <w:rsid w:val="00F4167F"/>
    <w:rsid w:val="00F54C66"/>
    <w:rsid w:val="00F72F4F"/>
    <w:rsid w:val="00F7428C"/>
    <w:rsid w:val="00F90AC6"/>
    <w:rsid w:val="00F95928"/>
    <w:rsid w:val="00FB1F16"/>
    <w:rsid w:val="00FC6C83"/>
    <w:rsid w:val="00FD5B2F"/>
    <w:rsid w:val="00FE5F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1BA2"/>
  <w15:chartTrackingRefBased/>
  <w15:docId w15:val="{E29CD9E3-836D-4CFD-A16F-C0769FA4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3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F3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F3A0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F3A0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F3A0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F3A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3A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3A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3A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3A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F3A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F3A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F3A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F3A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F3A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3A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3A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3A02"/>
    <w:rPr>
      <w:rFonts w:eastAsiaTheme="majorEastAsia" w:cstheme="majorBidi"/>
      <w:color w:val="272727" w:themeColor="text1" w:themeTint="D8"/>
    </w:rPr>
  </w:style>
  <w:style w:type="paragraph" w:styleId="Titre">
    <w:name w:val="Title"/>
    <w:basedOn w:val="Normal"/>
    <w:next w:val="Normal"/>
    <w:link w:val="TitreCar"/>
    <w:uiPriority w:val="10"/>
    <w:qFormat/>
    <w:rsid w:val="000F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3A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3A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3A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3A02"/>
    <w:pPr>
      <w:spacing w:before="160"/>
      <w:jc w:val="center"/>
    </w:pPr>
    <w:rPr>
      <w:i/>
      <w:iCs/>
      <w:color w:val="404040" w:themeColor="text1" w:themeTint="BF"/>
    </w:rPr>
  </w:style>
  <w:style w:type="character" w:customStyle="1" w:styleId="CitationCar">
    <w:name w:val="Citation Car"/>
    <w:basedOn w:val="Policepardfaut"/>
    <w:link w:val="Citation"/>
    <w:uiPriority w:val="29"/>
    <w:rsid w:val="000F3A02"/>
    <w:rPr>
      <w:i/>
      <w:iCs/>
      <w:color w:val="404040" w:themeColor="text1" w:themeTint="BF"/>
    </w:rPr>
  </w:style>
  <w:style w:type="paragraph" w:styleId="Paragraphedeliste">
    <w:name w:val="List Paragraph"/>
    <w:aliases w:val="List Paragraph level 1,Bullet OFM,List Paragraph1,List Paragraph (numbered (a)),Bullet List,Primus H 3,lp1,Use Case List Paragraph Char,Citation List,Use Case List Paragraph,555,AB List 1,Prgrf_UNDP,Bullet Points,Normal 1,3,Bullet EY"/>
    <w:basedOn w:val="Normal"/>
    <w:link w:val="ParagraphedelisteCar"/>
    <w:uiPriority w:val="34"/>
    <w:qFormat/>
    <w:rsid w:val="000F3A02"/>
    <w:pPr>
      <w:ind w:left="720"/>
      <w:contextualSpacing/>
    </w:pPr>
  </w:style>
  <w:style w:type="character" w:styleId="Accentuationintense">
    <w:name w:val="Intense Emphasis"/>
    <w:basedOn w:val="Policepardfaut"/>
    <w:uiPriority w:val="21"/>
    <w:qFormat/>
    <w:rsid w:val="000F3A02"/>
    <w:rPr>
      <w:i/>
      <w:iCs/>
      <w:color w:val="2F5496" w:themeColor="accent1" w:themeShade="BF"/>
    </w:rPr>
  </w:style>
  <w:style w:type="paragraph" w:styleId="Citationintense">
    <w:name w:val="Intense Quote"/>
    <w:basedOn w:val="Normal"/>
    <w:next w:val="Normal"/>
    <w:link w:val="CitationintenseCar"/>
    <w:uiPriority w:val="30"/>
    <w:qFormat/>
    <w:rsid w:val="000F3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F3A02"/>
    <w:rPr>
      <w:i/>
      <w:iCs/>
      <w:color w:val="2F5496" w:themeColor="accent1" w:themeShade="BF"/>
    </w:rPr>
  </w:style>
  <w:style w:type="character" w:styleId="Rfrenceintense">
    <w:name w:val="Intense Reference"/>
    <w:basedOn w:val="Policepardfaut"/>
    <w:uiPriority w:val="32"/>
    <w:qFormat/>
    <w:rsid w:val="000F3A02"/>
    <w:rPr>
      <w:b/>
      <w:bCs/>
      <w:smallCaps/>
      <w:color w:val="2F5496" w:themeColor="accent1" w:themeShade="BF"/>
      <w:spacing w:val="5"/>
    </w:rPr>
  </w:style>
  <w:style w:type="paragraph" w:styleId="NormalWeb">
    <w:name w:val="Normal (Web)"/>
    <w:basedOn w:val="Normal"/>
    <w:uiPriority w:val="99"/>
    <w:unhideWhenUsed/>
    <w:rsid w:val="00F2146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9223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8508A"/>
    <w:rPr>
      <w:b/>
      <w:bCs/>
    </w:rPr>
  </w:style>
  <w:style w:type="paragraph" w:styleId="En-tte">
    <w:name w:val="header"/>
    <w:basedOn w:val="Normal"/>
    <w:link w:val="En-tteCar"/>
    <w:uiPriority w:val="99"/>
    <w:unhideWhenUsed/>
    <w:rsid w:val="00C76DF0"/>
    <w:pPr>
      <w:tabs>
        <w:tab w:val="center" w:pos="4536"/>
        <w:tab w:val="right" w:pos="9072"/>
      </w:tabs>
      <w:spacing w:after="0" w:line="240" w:lineRule="auto"/>
    </w:pPr>
  </w:style>
  <w:style w:type="character" w:customStyle="1" w:styleId="En-tteCar">
    <w:name w:val="En-tête Car"/>
    <w:basedOn w:val="Policepardfaut"/>
    <w:link w:val="En-tte"/>
    <w:uiPriority w:val="99"/>
    <w:rsid w:val="00C76DF0"/>
  </w:style>
  <w:style w:type="paragraph" w:styleId="Pieddepage">
    <w:name w:val="footer"/>
    <w:basedOn w:val="Normal"/>
    <w:link w:val="PieddepageCar"/>
    <w:uiPriority w:val="99"/>
    <w:unhideWhenUsed/>
    <w:rsid w:val="00C76D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DF0"/>
  </w:style>
  <w:style w:type="character" w:customStyle="1" w:styleId="ParagraphedelisteCar">
    <w:name w:val="Paragraphe de liste Car"/>
    <w:aliases w:val="List Paragraph level 1 Car,Bullet OFM Car,List Paragraph1 Car,List Paragraph (numbered (a)) Car,Bullet List Car,Primus H 3 Car,lp1 Car,Use Case List Paragraph Char Car,Citation List Car,Use Case List Paragraph Car,555 Car,3 Car"/>
    <w:link w:val="Paragraphedeliste"/>
    <w:uiPriority w:val="34"/>
    <w:qFormat/>
    <w:locked/>
    <w:rsid w:val="003C6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3028</Words>
  <Characters>16478</Characters>
  <Application>Microsoft Office Word</Application>
  <DocSecurity>0</DocSecurity>
  <Lines>749</Lines>
  <Paragraphs>629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Djibril Saidou</cp:lastModifiedBy>
  <cp:revision>2</cp:revision>
  <cp:lastPrinted>2025-02-21T14:13:00Z</cp:lastPrinted>
  <dcterms:created xsi:type="dcterms:W3CDTF">2026-04-06T00:47:00Z</dcterms:created>
  <dcterms:modified xsi:type="dcterms:W3CDTF">2026-04-06T00:47:00Z</dcterms:modified>
</cp:coreProperties>
</file>